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11, 2026</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People Incorporated</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5084" w:type="dxa"/>
        <w:jc w:val="center"/>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001-39356</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84-3727412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9" w:type="dxa"/>
        <w:jc w:val="center"/>
        <w:tblInd w:w="0" w:type="dxa"/>
        <w:tblLayout w:type="fixed"/>
        <w:tblCellMar>
          <w:top w:w="28" w:type="dxa"/>
          <w:left w:w="28" w:type="dxa"/>
          <w:bottom w:w="28" w:type="dxa"/>
          <w:right w:w="28" w:type="dxa"/>
        </w:tblCellMar>
      </w:tblPr>
      <w:tblGrid>
        <w:gridCol w:w="695"/>
        <w:gridCol w:w="612"/>
        <w:gridCol w:w="613"/>
        <w:gridCol w:w="332"/>
        <w:gridCol w:w="332"/>
        <w:gridCol w:w="334"/>
        <w:gridCol w:w="126"/>
        <w:gridCol w:w="126"/>
        <w:gridCol w:w="127"/>
        <w:gridCol w:w="109"/>
        <w:gridCol w:w="109"/>
        <w:gridCol w:w="109"/>
        <w:gridCol w:w="303"/>
        <w:gridCol w:w="303"/>
        <w:gridCol w:w="429"/>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555 West 18th Street,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314-7300</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120"/>
        <w:ind w:left="0" w:right="0" w:hanging="360"/>
        <w:jc w:val="left"/>
        <w:rPr/>
      </w:pPr>
      <w:r>
        <w:rPr/>
      </w:r>
    </w:p>
    <w:tbl>
      <w:tblPr>
        <w:tblW w:w="8627" w:type="dxa"/>
        <w:jc w:val="left"/>
        <w:tblInd w:w="0" w:type="dxa"/>
        <w:tblLayout w:type="fixed"/>
        <w:tblCellMar>
          <w:top w:w="28" w:type="dxa"/>
          <w:left w:w="28" w:type="dxa"/>
          <w:bottom w:w="28" w:type="dxa"/>
          <w:right w:w="28" w:type="dxa"/>
        </w:tblCellMar>
      </w:tblPr>
      <w:tblGrid>
        <w:gridCol w:w="931"/>
        <w:gridCol w:w="817"/>
        <w:gridCol w:w="817"/>
        <w:gridCol w:w="278"/>
        <w:gridCol w:w="278"/>
        <w:gridCol w:w="278"/>
        <w:gridCol w:w="485"/>
        <w:gridCol w:w="485"/>
        <w:gridCol w:w="485"/>
        <w:gridCol w:w="278"/>
        <w:gridCol w:w="278"/>
        <w:gridCol w:w="278"/>
        <w:gridCol w:w="861"/>
        <w:gridCol w:w="861"/>
        <w:gridCol w:w="1217"/>
      </w:tblGrid>
      <w:tr>
        <w:trPr/>
        <w:tc>
          <w:tcPr>
            <w:tcW w:w="9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62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5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PPLI</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120"/>
        <w:ind w:left="0" w:right="0" w:hanging="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Incorporated (formerly IAC Inc.) (“People Incorporated” or the “Company”) is filing this Current Report on Form 8-K (“Form 8-K”) to revise the sections entitled “Item 7. Management's Discussion and Analysis of Financial Condition and Results of Operations,” “Item 7A. Quantitative and Qualitative Disclosures About Market Risk” and “Item 8. Financial Statements and Supplementary Data” contained in the Annual Report on Form 10-K for the fiscal year ended December 31, 2025 (File No. 001-39356) filed by the Company on February 20, 2026, and as amended on April 1, 2026 by the Amendment No. 1 on Form 10-K/A (as amended, the “Annual Report”) to reflect the following:</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name change of IAC Inc. to People Incorporated, effective June 4, 2026, and the name change of Dotdash Meredith Inc. (a subsidiary of the Company) to People Inc. Group, effective June 30, 2026.</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revision of the Adjusted Earnings Before Interest, Taxes, Depreciation and Amortization (“EBITDA”) definition. Beginning in the second quarter of 2026, the Company revised its definition of Adjusted EBITDA to exclude certain items that management believes are not representative of the Company’s core ongoing operating performance and certain items that affect comparability between periods.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classification of the Search segment as discontinued operations for all periods presented as a result of the expiration of the Google services agreement, dated October 26, 2015 and subsequently amended (the “Services Agreement”), on April 30, 2026 in accordance with ASC 205, “Presentation of Financial Statements” (“ASC 205”), within the Company’s consolidated financial statements. On December 10, 2025, the Company received a notice of non-renewal (the “Notice”) from Google of the Services Agreement and,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classification of Care.com as discontinued operations for all periods presented as a result of its sale on March 16, 2026, in accordance with ASC 205 within the Company’s consolidated financial statements.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reclassification of the digital portion of a legacy agency business between the Print and Digital segments of People Inc. 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above sections, as updated, are included in Exhibit 99.1 to this Form 8-K, which replaces “Item 7. Management's Discussion and Analysis of Financial Condition and Results of Operations,” “Item 7A. Quantitative and Qualitative Disclosures About Market Risk” and “Item 8. Financial Statements and Supplementary Data” contained in the Annual Report, and only reflects the changes described above. This Form 8-K does not otherwise modify or update the Annual Report in any way, nor does it reflect any subsequent information or events, other than as required to reflect the changes described above.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Exhibits.</w:t>
      </w:r>
    </w:p>
    <w:tbl>
      <w:tblPr>
        <w:tblW w:w="8849" w:type="dxa"/>
        <w:jc w:val="left"/>
        <w:tblInd w:w="0" w:type="dxa"/>
        <w:tblLayout w:type="fixed"/>
        <w:tblCellMar>
          <w:top w:w="28" w:type="dxa"/>
          <w:left w:w="28" w:type="dxa"/>
          <w:bottom w:w="28" w:type="dxa"/>
          <w:right w:w="28" w:type="dxa"/>
        </w:tblCellMar>
      </w:tblPr>
      <w:tblGrid>
        <w:gridCol w:w="314"/>
        <w:gridCol w:w="277"/>
        <w:gridCol w:w="279"/>
        <w:gridCol w:w="2329"/>
        <w:gridCol w:w="2329"/>
        <w:gridCol w:w="3321"/>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231xconsentofey2025reca.htm">
              <w:r>
                <w:rPr>
                  <w:rStyle w:val="InternetLink"/>
                  <w:rFonts w:ascii="Times New Roman;serif" w:hAnsi="Times New Roman;serif"/>
                  <w:b w:val="false"/>
                  <w:color w:val="0000FF"/>
                  <w:sz w:val="20"/>
                  <w:u w:val="single"/>
                </w:rPr>
                <w:t>23.1</w:t>
              </w:r>
            </w:hyperlink>
          </w:p>
        </w:tc>
        <w:tc>
          <w:tcPr>
            <w:tcW w:w="7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Ernst &amp; Young LLP.</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i-20260911_d2.htm">
              <w:r>
                <w:rPr>
                  <w:rStyle w:val="InternetLink"/>
                  <w:rFonts w:ascii="Times New Roman;serif" w:hAnsi="Times New Roman;serif"/>
                  <w:b w:val="false"/>
                  <w:color w:val="0000FF"/>
                  <w:sz w:val="20"/>
                  <w:u w:val="single"/>
                </w:rPr>
                <w:t>99.1</w:t>
              </w:r>
            </w:hyperlink>
          </w:p>
        </w:tc>
        <w:tc>
          <w:tcPr>
            <w:tcW w:w="79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Form 10-K filed with the SEC on February 20, 2026, as updated.</w:t>
              <w:br/>
              <w:t>Item 7. Management's Discussion and Analysis of Financial Condition and Results of Operations</w:t>
              <w:br/>
              <w:t>Item 7A. Quantitative and Qualitative Disclosures About Market Risk</w:t>
              <w:br/>
              <w:t>Item 8. Consolidated and Combined Financial Statements and Supplementary Data</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605" w:type="dxa"/>
        <w:jc w:val="center"/>
        <w:tblInd w:w="0" w:type="dxa"/>
        <w:tblLayout w:type="fixed"/>
        <w:tblCellMar>
          <w:top w:w="28" w:type="dxa"/>
          <w:left w:w="28" w:type="dxa"/>
          <w:bottom w:w="28" w:type="dxa"/>
          <w:right w:w="28" w:type="dxa"/>
        </w:tblCellMar>
      </w:tblPr>
      <w:tblGrid>
        <w:gridCol w:w="124"/>
        <w:gridCol w:w="109"/>
        <w:gridCol w:w="109"/>
        <w:gridCol w:w="209"/>
        <w:gridCol w:w="209"/>
        <w:gridCol w:w="211"/>
        <w:gridCol w:w="188"/>
        <w:gridCol w:w="188"/>
        <w:gridCol w:w="188"/>
        <w:gridCol w:w="592"/>
        <w:gridCol w:w="592"/>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0" w:after="240"/>
        <w:jc w:val="left"/>
        <w:rPr/>
      </w:pPr>
      <w:r>
        <w:rPr>
          <w:rFonts w:ascii="Times New Roman;serif" w:hAnsi="Times New Roman;serif"/>
          <w:b w:val="false"/>
          <w:color w:val="000000"/>
          <w:sz w:val="20"/>
        </w:rPr>
        <w:t>Date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September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Registration Statement (Post-Effective Amendment No.1 on Form S-8 to Registration Statement on Form S-4 No. 333-251656) pertaining to IAC/InterActiveCorp’s 2018 Stock and Annual Incentive Plan, 2013 Stock and Annual Incentive Plan, 2008 Stock and Annual Incentive Plan, 2005 Stock and Annual Incentive Plan, Retirement Savings Plan, 2011 Deferred Compensation Plan for Non-Employee Directors, 2007 Deferred Compensation Plan for Non-Employee Directors and 2000 Fee Deferral Plan for Non-Employee Directors; and </w:t>
      </w:r>
    </w:p>
    <w:p>
      <w:pPr>
        <w:pStyle w:val="TextBody"/>
        <w:bidi w:val="0"/>
        <w:spacing w:before="0" w:after="0"/>
        <w:ind w:left="0" w:right="0" w:hanging="36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Registration Statement (Post-Effective Amendment No. 1 on Form S-3 to Registration Statement on Form S-1 No. 333-239204) pertaining to IAC/InterActiveCorp’s 2018 Stock and Annual Incentive Plan and 2013 Stock and Annual Incentive Plan,</w:t>
      </w:r>
    </w:p>
    <w:p>
      <w:pPr>
        <w:pStyle w:val="TextBody"/>
        <w:bidi w:val="0"/>
        <w:spacing w:before="0" w:after="0"/>
        <w:ind w:left="0" w:right="0" w:hanging="27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of our report dated February 20, 2026 (except for the effects of presenting Care.com and the Search segment as discontinued operations as disclosed in Note 1 and 17, the change to the composition of operating segments disclosed in Note 1, and the recast of the segment reporting performance measure to reflect the revised definition as disclosed in Note 9, as to which the date is September 11, 2026), with respect to the consolidated financial statements and schedule of People Incorporated and subsidiaries, included in this Current Report on Form 8-K.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September 11,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40"/>
        <w:jc w:val="right"/>
        <w:rPr>
          <w:rFonts w:ascii="Times New Roman;serif" w:hAnsi="Times New Roman;serif"/>
          <w:b/>
          <w:color w:val="000000"/>
          <w:sz w:val="20"/>
        </w:rPr>
      </w:pPr>
      <w:r>
        <w:rPr>
          <w:rFonts w:ascii="Times New Roman;serif" w:hAnsi="Times New Roman;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MANAGEMENT OVERVIEW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IAC Inc. changed its name to People Incorporated (NASDAQ: PPLI), which is the owner of publisher, People Inc. Group. People Incorporated also holds a significant minority stake in MGM Resorts International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herein, “People Incorporated,” the “Company,” “we,” “our,” “us” and other similar terms refer to People Incorporated and its subsidiaries (unless the context requires otherwise).</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30, 2026, Dotdash Meredith Inc. amended and restated its certificate of incorporation to change its name to People Inc. Group. On July 31, 2025, then Dotdash Meredith Inc. was rebranded “People Inc.” and is referred to as such throughout this report (unless the context requires otherwise). As used herein, “People Inc.” refers to People Inc. Group, (formerly Dotdash Meredith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People Inc. Change to Composition of Operating Segments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Financial information for both the People Inc. Print and Digital segments has been recast to reflect this change for all periods presented.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Shutdown of Search Segment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received a notice of non-renewal (the “Notice”) from Google Inc.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Sale of Care.com </w:t>
      </w:r>
    </w:p>
    <w:p>
      <w:pPr>
        <w:pStyle w:val="TextBody"/>
        <w:bidi w:val="0"/>
        <w:spacing w:lineRule="auto" w:line="276"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the sale of its wholly-owned subsidiary, Care.com, for net proceeds of $300.2 million. In July 2026, the remaining $4.5 million of cash proceeds was received by the Company. As a result of the transaction, the consolidated operations of Care.com are presented as discontinued operations within the Company’s consolidated financial statements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Angi Inc. Distribution</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 </w:t>
      </w:r>
    </w:p>
    <w:p>
      <w:pPr>
        <w:pStyle w:val="TextBody"/>
        <w:bidi w:val="0"/>
        <w:spacing w:lineRule="auto" w:line="288" w:before="0" w:after="240"/>
        <w:ind w:left="0" w:right="0" w:firstLine="450"/>
        <w:jc w:val="left"/>
        <w:rPr/>
      </w:pPr>
      <w:r>
        <w:rPr>
          <w:rFonts w:ascii="Times New Roman;serif" w:hAnsi="Times New Roman;serif"/>
          <w:b w:val="false"/>
          <w:color w:val="000000"/>
          <w:sz w:val="20"/>
        </w:rPr>
        <w:t>See “</w:t>
      </w:r>
      <w:hyperlink w:anchor="i6619b59be68b4f7a9428d08547de7a6a_115">
        <w:r>
          <w:rPr>
            <w:rStyle w:val="InternetLink"/>
            <w:rFonts w:ascii="Times New Roman;serif" w:hAnsi="Times New Roman;serif"/>
            <w:b w:val="false"/>
            <w:color w:val="0000FF"/>
            <w:sz w:val="20"/>
            <w:u w:val="single"/>
          </w:rPr>
          <w:t>Note 17—Discontinued Operations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Defined Terms and Operating Metrics: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as the context otherwise requires, certain terms used in this annual report, which include the principal operating metrics we use in managing our business, are defined below.</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pPr>
      <w:r>
        <w:rPr>
          <w:rFonts w:ascii="Times New Roman;serif" w:hAnsi="Times New Roman;serif"/>
          <w:b/>
          <w:color w:val="000000"/>
          <w:sz w:val="20"/>
        </w:rPr>
        <w:t xml:space="preserve">Businesses of the Company </w:t>
      </w:r>
      <w:r>
        <w:rPr>
          <w:rFonts w:ascii="Times New Roman;serif" w:hAnsi="Times New Roman;serif"/>
          <w:b w:val="false"/>
          <w:color w:val="000000"/>
          <w:sz w:val="20"/>
        </w:rPr>
        <w:t>(for additional information see “</w:t>
      </w:r>
      <w:hyperlink w:anchor="i6619b59be68b4f7a9428d08547de7a6a_82">
        <w:r>
          <w:rPr>
            <w:rStyle w:val="InternetLink"/>
            <w:rFonts w:ascii="Times New Roman;serif" w:hAnsi="Times New Roman;serif"/>
            <w:b w:val="false"/>
            <w:color w:val="0000FF"/>
            <w:sz w:val="20"/>
            <w:u w:val="single"/>
          </w:rPr>
          <w:t>Note 9—Segment Information</w:t>
        </w:r>
      </w:hyperlink>
      <w:r>
        <w:rPr>
          <w:color w:val="000000"/>
        </w:rPr>
        <w:t xml:space="preserve">” </w:t>
      </w:r>
      <w:r>
        <w:rPr>
          <w:rFonts w:ascii="Times New Roman;serif" w:hAnsi="Times New Roman;serif"/>
          <w:b w:val="false"/>
          <w:color w:val="000000"/>
          <w:sz w:val="20"/>
        </w:rPr>
        <w:t>to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w:t>
      </w:r>
      <w:r>
        <w:rPr>
          <w:rFonts w:ascii="Times New Roman;serif" w:hAnsi="Times New Roman;serif"/>
          <w:b w:val="false"/>
          <w:color w:val="000000"/>
          <w:sz w:val="20"/>
        </w:rPr>
        <w:t>)</w:t>
      </w:r>
    </w:p>
    <w:p>
      <w:pPr>
        <w:pStyle w:val="TextBody"/>
        <w:bidi w:val="0"/>
        <w:spacing w:before="0" w:after="0"/>
        <w:ind w:left="0" w:right="0" w:firstLine="45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color w:val="000000"/>
          <w:sz w:val="20"/>
        </w:rPr>
        <w:t>People Inc.</w:t>
      </w:r>
      <w:r>
        <w:rPr>
          <w:color w:val="000000"/>
        </w:rPr>
        <w:t xml:space="preserve"> </w:t>
      </w:r>
      <w:r>
        <w:rPr>
          <w:rFonts w:ascii="Times New Roman;serif" w:hAnsi="Times New Roman;serif"/>
          <w:b w:val="false"/>
          <w:color w:val="000000"/>
          <w:sz w:val="20"/>
        </w:rPr>
        <w:t>- one of the largest digital and print publishers in America and is committed to content</w:t>
      </w:r>
      <w:r>
        <w:rPr>
          <w:color w:val="000000"/>
        </w:rPr>
        <w:t>—</w:t>
      </w:r>
      <w:r>
        <w:rPr>
          <w:rFonts w:ascii="Times New Roman;serif" w:hAnsi="Times New Roman;serif"/>
          <w:b w:val="false"/>
          <w:color w:val="000000"/>
          <w:sz w:val="20"/>
        </w:rPr>
        <w:t>made by people for people</w:t>
      </w:r>
      <w:r>
        <w:rPr>
          <w:color w:val="000000"/>
        </w:rPr>
        <w:t>—</w:t>
      </w:r>
      <w:r>
        <w:rPr>
          <w:rFonts w:ascii="Times New Roman;serif" w:hAnsi="Times New Roman;serif"/>
          <w:b w:val="false"/>
          <w:color w:val="000000"/>
          <w:sz w:val="20"/>
        </w:rPr>
        <w:t>that delights, teaches, inspires and entertains. More than 175 million people trust People Inc. each month to help them make decisions, take action, and find inspiration. People Inc.’s over 40 iconic brands include PEOPLE, Better Homes &amp; Gardens, Verywell, Food &amp; Wine, Travel + Leisure, Allrecipes, REAL SIMPLE, Investopedia, and Southern Living. People Inc. has two operating segments: (i) Digital, which includes its digital, mobile and licensing operations; and (ii) Print, which includes its magazine subscription and newsstand operations; and</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color w:val="000000"/>
          <w:sz w:val="20"/>
        </w:rPr>
        <w:t>Emerging &amp; Other</w:t>
      </w:r>
      <w:r>
        <w:rPr>
          <w:color w:val="000000"/>
        </w:rPr>
        <w:t xml:space="preserve"> </w:t>
      </w:r>
      <w:r>
        <w:rPr>
          <w:rFonts w:ascii="Times New Roman;serif" w:hAnsi="Times New Roman;serif"/>
          <w:b w:val="false"/>
          <w:color w:val="000000"/>
          <w:sz w:val="20"/>
        </w:rPr>
        <w:t xml:space="preserve">- consists of: </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Vivian Health</w:t>
      </w:r>
      <w:r>
        <w:rPr>
          <w:rFonts w:ascii="Times New Roman;serif" w:hAnsi="Times New Roman;serif"/>
          <w:b w:val="false"/>
          <w:color w:val="000000"/>
          <w:sz w:val="20"/>
        </w:rPr>
        <w:t>, a platform to efficiently connect healthcare professionals with job opportunities;</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The Daily Beast</w:t>
      </w:r>
      <w:r>
        <w:rPr>
          <w:rFonts w:ascii="Times New Roman;serif" w:hAnsi="Times New Roman;serif"/>
          <w:b w:val="false"/>
          <w:color w:val="000000"/>
          <w:sz w:val="20"/>
        </w:rPr>
        <w:t>, a website dedicated to news, commentary, culture and entertainment that publishes original reporting and opinion from its roster of full-time journalists and contributors;</w:t>
      </w:r>
      <w:r>
        <w:rPr>
          <w:color w:val="000000"/>
        </w:rPr>
        <w:t xml:space="preserve"> </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IAC Films</w:t>
      </w:r>
      <w:r>
        <w:rPr>
          <w:rFonts w:ascii="Times New Roman;serif" w:hAnsi="Times New Roman;serif"/>
          <w:b w:val="false"/>
          <w:color w:val="000000"/>
          <w:sz w:val="20"/>
        </w:rPr>
        <w:t>, a provider of producer services for feature films, primarily for initial sale and distribution through theatrical releases and video streaming services in the United States (“U.S.”) and internationally; and</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Mosaic Group</w:t>
      </w:r>
      <w:r>
        <w:rPr>
          <w:rFonts w:ascii="Times New Roman;serif" w:hAnsi="Times New Roman;serif"/>
          <w:b w:val="false"/>
          <w:color w:val="000000"/>
          <w:sz w:val="20"/>
        </w:rPr>
        <w:t>, a former developer and provider of global subscription mobile applications, for periods prior to the sale of its assets on February 15, 2024, which was accounted for as a sale of a business, for approximately $160 million.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a more complete description of the Company’s operating businesses, see “Item 1—Business” to the Company’s Annual Report on Form 10-K for the fiscal year ended December 31, 2025 filed with the Securities Exchange Commission on February 20, 2026.</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People Inc.</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Digital Revenue -</w:t>
      </w:r>
      <w:r>
        <w:rPr>
          <w:color w:val="000000"/>
        </w:rPr>
        <w:t xml:space="preserve"> </w:t>
      </w:r>
      <w:r>
        <w:rPr>
          <w:rFonts w:ascii="Times New Roman;serif" w:hAnsi="Times New Roman;serif"/>
          <w:b w:val="false"/>
          <w:color w:val="000000"/>
          <w:sz w:val="20"/>
        </w:rPr>
        <w:t>includes advertising revenue, performance marketing revenue and licensing and other revenue.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Advertising revenue</w:t>
      </w:r>
      <w:r>
        <w:rPr>
          <w:color w:val="000000"/>
        </w:rPr>
        <w:t xml:space="preserve"> </w:t>
      </w:r>
      <w:r>
        <w:rPr>
          <w:rFonts w:ascii="Times New Roman;serif" w:hAnsi="Times New Roman;serif"/>
          <w:b w:val="false"/>
          <w:color w:val="000000"/>
          <w:sz w:val="20"/>
        </w:rPr>
        <w:t>- primarily includes revenue generated from digital advertisements and intent-based advertising targeting capabilities (D/Cipher+), which are sold directly to advertisers or through advertising agencies and programmatic advertising networks.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Performance marketing revenue</w:t>
      </w:r>
      <w:r>
        <w:rPr>
          <w:color w:val="000000"/>
        </w:rPr>
        <w:t xml:space="preserve"> </w:t>
      </w:r>
      <w:r>
        <w:rPr>
          <w:rFonts w:ascii="Times New Roman;serif" w:hAnsi="Times New Roman;serif"/>
          <w:b w:val="false"/>
          <w:color w:val="000000"/>
          <w:sz w:val="20"/>
        </w:rPr>
        <w:t xml:space="preserve">- primarily includes commissions generated through affiliate commerce, performance marketing services 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Licensing and Other revenue</w:t>
      </w:r>
      <w:r>
        <w:rPr>
          <w:color w:val="000000"/>
        </w:rPr>
        <w:t xml:space="preserve"> </w:t>
      </w:r>
      <w:r>
        <w:rPr>
          <w:rFonts w:ascii="Times New Roman;serif" w:hAnsi="Times New Roman;serif"/>
          <w:b w:val="false"/>
          <w:color w:val="000000"/>
          <w:sz w:val="20"/>
        </w:rPr>
        <w:t>- primarily includes revenue generated through brand and content licensing and similar agreements. Brand licensing 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 (“AI”) related activities.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Print Revenue</w:t>
      </w:r>
      <w:r>
        <w:rPr>
          <w:color w:val="000000"/>
        </w:rPr>
        <w:t xml:space="preserve"> </w:t>
      </w:r>
      <w:r>
        <w:rPr>
          <w:rFonts w:ascii="Times New Roman;serif" w:hAnsi="Times New Roman;serif"/>
          <w:b w:val="false"/>
          <w:color w:val="000000"/>
          <w:sz w:val="20"/>
        </w:rPr>
        <w:t xml:space="preserve">- primarily includes subscription, advertising, project and other, newsstand and performance marketing revenue. Project and other revenue primarily includes revenue from custom publishing. Performance marketing revenue includes revenue from marketing third-party magazine subscriptions.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Total Sessions</w:t>
      </w:r>
      <w:r>
        <w:rPr>
          <w:color w:val="000000"/>
        </w:rPr>
        <w:t xml:space="preserve"> </w:t>
      </w:r>
      <w:r>
        <w:rPr>
          <w:rFonts w:ascii="Times New Roman;serif" w:hAnsi="Times New Roman;serif"/>
          <w:b w:val="false"/>
          <w:color w:val="000000"/>
          <w:sz w:val="20"/>
        </w:rPr>
        <w:t>- represents unique visits to all sites that are part of People Inc.’s network.</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Core Sessions</w:t>
      </w:r>
      <w:r>
        <w:rPr>
          <w:color w:val="000000"/>
        </w:rPr>
        <w:t xml:space="preserve"> </w:t>
      </w:r>
      <w:r>
        <w:rPr>
          <w:rFonts w:ascii="Times New Roman;serif" w:hAnsi="Times New Roman;serif"/>
          <w:b w:val="false"/>
          <w:color w:val="000000"/>
          <w:sz w:val="20"/>
        </w:rPr>
        <w:t>- represents a subset of Total Sessions that comprises unique visits to People Inc.’s most significant (in terms of investment) owned and operated sites as follows:</w:t>
      </w:r>
    </w:p>
    <w:tbl>
      <w:tblPr>
        <w:tblW w:w="4980" w:type="dxa"/>
        <w:jc w:val="left"/>
        <w:tblInd w:w="0" w:type="dxa"/>
        <w:tblLayout w:type="fixed"/>
        <w:tblCellMar>
          <w:top w:w="28" w:type="dxa"/>
          <w:left w:w="28" w:type="dxa"/>
          <w:bottom w:w="28" w:type="dxa"/>
          <w:right w:w="28" w:type="dxa"/>
        </w:tblCellMar>
      </w:tblPr>
      <w:tblGrid>
        <w:gridCol w:w="764"/>
        <w:gridCol w:w="672"/>
        <w:gridCol w:w="679"/>
        <w:gridCol w:w="478"/>
        <w:gridCol w:w="478"/>
        <w:gridCol w:w="484"/>
        <w:gridCol w:w="417"/>
        <w:gridCol w:w="417"/>
        <w:gridCol w:w="591"/>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InStyle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Simply Recipes</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Allrecipes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Food &amp; Wine</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Serious Eats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Investopedia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Martha Stewart</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EatingWell</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Better Homes &amp; Gardens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Byrdie</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Parents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Verywell Health</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SIMPLE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Verywell Mind</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Spruce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Southern Living</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Travel + Leisure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pPr>
      <w:r>
        <w:rPr>
          <w:rFonts w:ascii="Times New Roman;serif" w:hAnsi="Times New Roman;serif"/>
          <w:b w:val="false"/>
          <w:color w:val="000000"/>
          <w:sz w:val="20"/>
        </w:rPr>
        <w:t>For a more complete description of the Company’s sources of revenue, see “General Revenue Recognition” under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rFonts w:ascii="Times New Roman;serif" w:hAnsi="Times New Roman;serif"/>
          <w:b w:val="false"/>
          <w:color w:val="000000"/>
          <w:sz w:val="20"/>
        </w:rPr>
        <w:t>.”</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lineRule="auto" w:line="268" w:before="120" w:after="240"/>
        <w:ind w:left="0" w:right="0" w:hanging="270"/>
        <w:jc w:val="left"/>
        <w:rPr/>
      </w:pPr>
      <w:r>
        <w:rPr>
          <w:color w:val="000000"/>
        </w:rPr>
        <w:t>•</w:t>
      </w:r>
      <w:r>
        <w:rPr>
          <w:rFonts w:ascii="Times New Roman;serif" w:hAnsi="Times New Roman;serif"/>
          <w:b/>
          <w:color w:val="000000"/>
          <w:sz w:val="20"/>
        </w:rPr>
        <w:t xml:space="preserve">Cost of revenue (exclusive of depreciation) - </w:t>
      </w:r>
      <w:r>
        <w:rPr>
          <w:rFonts w:ascii="Times New Roman;serif" w:hAnsi="Times New Roman;serif"/>
          <w:b w:val="false"/>
          <w:color w:val="000000"/>
          <w:sz w:val="20"/>
        </w:rPr>
        <w:t>consists primarily of compensation expense (including stock-based compensation expense) and other employee-related costs; production, distribution and editorial costs of the People Inc. Print segment; content costs; purchases of advertising inventory for advertising campaigns sold with People Inc.’s D/Cipher product; traffic acquisition costs, which include payment of amounts based on revenue share and other arrangements; and hosting fees</w:t>
      </w:r>
      <w:r>
        <w:rPr>
          <w:rFonts w:ascii="Times New Roman;serif" w:hAnsi="Times New Roman;serif"/>
          <w:b w:val="false"/>
          <w:i/>
          <w:color w:val="000000"/>
          <w:sz w:val="20"/>
        </w:rPr>
        <w: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Selling and marketing expense - </w:t>
      </w:r>
      <w:r>
        <w:rPr>
          <w:rFonts w:ascii="Times New Roman;serif" w:hAnsi="Times New Roman;serif"/>
          <w:b w:val="false"/>
          <w:color w:val="000000"/>
          <w:sz w:val="20"/>
        </w:rPr>
        <w:t>consists primarily of advertising expenditures, which include online marketing expenditures, including fees paid to search engines, social media sites and other online marketing platforms; offline marketing expenditures, which primarily consists of costs related to direct mail and promotional events; compensation expense (including stock-based compensation expense) and other employee-related costs for sales force and marketing personnel; and subscription acquisition costs of the People Inc. Print segment.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General and administrative expense - </w:t>
      </w:r>
      <w:r>
        <w:rPr>
          <w:rFonts w:ascii="Times New Roman;serif" w:hAnsi="Times New Roman;serif"/>
          <w:b w:val="false"/>
          <w:color w:val="000000"/>
          <w:sz w:val="20"/>
        </w:rPr>
        <w:t xml:space="preserve">consists primarily of compensation expense (including stock-based compensation expense) and other employee-related costs for personnel engaged in executive management, finance, legal, tax, human resources and customer service functions; rent expense (including impairments of right-of-use assets or “ROU assets” and gains or losses on the amendments or early terminations of lease agreements) and facilities cost; fees for professional services (including transaction-related costs related to the Distribution and acquisitions); provision for credit losses; and software license and maintenance costs.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Product development expense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consists primarily of compensation expense (including stock-based compensation expense) and other employee-related costs; and third-party contractor costs that are not capitalized for personnel engaged in the design, development, testing and enhancement of product offerings and related technology; and software license and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40"/>
        <w:jc w:val="left"/>
        <w:rPr/>
      </w:pPr>
      <w:r>
        <w:rPr>
          <w:rFonts w:ascii="Times New Roman;serif" w:hAnsi="Times New Roman;serif"/>
          <w:b/>
          <w:color w:val="000000"/>
          <w:sz w:val="20"/>
        </w:rPr>
        <w:t xml:space="preserve">Long-term debt - </w:t>
      </w:r>
      <w:r>
        <w:rPr>
          <w:rFonts w:ascii="Times New Roman;serif" w:hAnsi="Times New Roman;serif"/>
          <w:b w:val="false"/>
          <w:color w:val="000000"/>
          <w:sz w:val="20"/>
        </w:rPr>
        <w:t>All of the Company’s long-term debt are liabilities of People Inc.</w:t>
      </w:r>
      <w:r>
        <w:rPr>
          <w:color w:val="000000"/>
        </w:rPr>
        <w:t xml:space="preserve"> </w:t>
      </w:r>
      <w:r>
        <w:rPr>
          <w:rFonts w:ascii="Times New Roman;serif" w:hAnsi="Times New Roman;serif"/>
          <w:b w:val="false"/>
          <w:color w:val="000000"/>
          <w:sz w:val="20"/>
        </w:rPr>
        <w:t>(For additional information 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w:t>
      </w:r>
      <w:r>
        <w:rPr>
          <w:rFonts w:ascii="Times New Roman;serif" w:hAnsi="Times New Roman;serif"/>
          <w:b w:val="false"/>
          <w:color w:val="000000"/>
          <w:sz w:val="20"/>
        </w:rPr>
        <w:t>):</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 xml:space="preserve">Term Loan A-1 </w:t>
      </w:r>
      <w:r>
        <w:rPr>
          <w:rFonts w:ascii="Times New Roman;serif" w:hAnsi="Times New Roman;serif"/>
          <w:b w:val="false"/>
          <w:color w:val="000000"/>
          <w:sz w:val="20"/>
        </w:rPr>
        <w:t xml:space="preserve">- due May 14, 2030. On May 14, 2025, People Inc. entered into the Incremental Assumption Agreement and Amendment No. 2 to the Credit Agreement (“Amendment No. 2”), which replaced $288.8 million of the then outstanding Term Loan A with $350 million of the Term Loan A-1 and provided for a new five-year $150 million revolving credit facility (“Revolving Facility”). At December 31, 2025, the outstanding balance of the Term Loan A-1 was $341.3 million and bore interest at secured overnight financing rate (“SOFR”) plus 2.00%, or 5.73%. At December 31, 2024, the outstanding balance of the Term Loan A was $297.5 million and bore interest at an adjusted term SOFR plus 2.25%, or 6.94%. The Term Loan A-1 requires quarterly principal payments, which commenced September 30, 2025, of $4.4 million through December 31, 2027, $8.8 million thereafter through December 31, 2028 and $13.1 million thereafter through maturity.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Term Loan B-2</w:t>
      </w:r>
      <w:r>
        <w:rPr>
          <w:color w:val="000000"/>
        </w:rPr>
        <w:t xml:space="preserve"> </w:t>
      </w:r>
      <w:r>
        <w:rPr>
          <w:rFonts w:ascii="Times New Roman;serif" w:hAnsi="Times New Roman;serif"/>
          <w:b w:val="false"/>
          <w:color w:val="000000"/>
          <w:sz w:val="20"/>
        </w:rPr>
        <w:t xml:space="preserve">- due June 16, 2032. On June 16, 2025, People Inc. completed the refinancing and replacement of its then outstanding $1.18 billion Term Loan B-1 with a combination of $700 million of the Term Loan B-2 and $400 million of the 7.625% Senior Secured Notes due June 15, 2032 (“2032 Notes”). At December 31, 2025 and December 31, 2024, the outstanding balances of the Term Loan B-2 and the Term Loan B-1 were $700.0 million and $1.18 billion, respectively, and bore interest at SOFR, subject to a minimum of 0.50%, plus 3.50%, or 7.37% and 8.05%, respectively, as the applicable margin was unchanged under the governing agreements. The Term Loan B-2 requires quarterly principal payments of $1.8 million commencing March 31, 2026 through maturity.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 Loan A, Term Loan A-1, Term Loan B-1 and Term Loan B-2 are collectively referred to herein as the “Term Loans.”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2032 Notes</w:t>
      </w:r>
      <w:r>
        <w:rPr>
          <w:color w:val="000000"/>
        </w:rPr>
        <w:t xml:space="preserve"> </w:t>
      </w:r>
      <w:r>
        <w:rPr>
          <w:rFonts w:ascii="Times New Roman;serif" w:hAnsi="Times New Roman;serif"/>
          <w:b w:val="false"/>
          <w:color w:val="000000"/>
          <w:sz w:val="20"/>
        </w:rPr>
        <w:t xml:space="preserve">- due June 15, 2032. At December 31, 2025 the outstanding balance of the 2032 Notes, described above, was $400.0 million.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Revolving Facility</w:t>
      </w:r>
      <w:r>
        <w:rPr>
          <w:color w:val="000000"/>
        </w:rPr>
        <w:t xml:space="preserve"> </w:t>
      </w:r>
      <w:r>
        <w:rPr>
          <w:rFonts w:ascii="Times New Roman;serif" w:hAnsi="Times New Roman;serif"/>
          <w:b w:val="false"/>
          <w:color w:val="000000"/>
          <w:sz w:val="20"/>
        </w:rPr>
        <w:t xml:space="preserve">- expires May 14, 2030. Amendment No. 2 provides for a revolving credit facility of $150 million, which replaced the then existing revolving credit facility that would have expired on December 1, 2026. To date, People Inc. has not made any borrowings under any of its revolving credit facilities. </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120" w:after="240"/>
        <w:ind w:left="0" w:right="0" w:hanging="270"/>
        <w:jc w:val="left"/>
        <w:rPr/>
      </w:pPr>
      <w:r>
        <w:rPr>
          <w:color w:val="000000"/>
        </w:rPr>
        <w:t>•</w:t>
      </w:r>
      <w:r>
        <w:rPr>
          <w:rFonts w:ascii="Times New Roman;serif" w:hAnsi="Times New Roman;serif"/>
          <w:b/>
          <w:color w:val="000000"/>
          <w:sz w:val="20"/>
        </w:rPr>
        <w:t>Adjusted Earnings Before Interest, Taxes, Depreciation and Amortization (“EBITDA”)</w:t>
      </w:r>
      <w:r>
        <w:rPr>
          <w:color w:val="000000"/>
        </w:rPr>
        <w:t xml:space="preserve"> </w:t>
      </w:r>
      <w:r>
        <w:rPr>
          <w:rFonts w:ascii="Times New Roman;serif" w:hAnsi="Times New Roman;serif"/>
          <w:b w:val="false"/>
          <w:color w:val="000000"/>
          <w:sz w:val="20"/>
        </w:rPr>
        <w:t>- is a non-GAAP financial measure. Beginning with the second quarter of 2026, the Company revised its definition of Adjusted EBITDA to also exclude certain items that management believes are not representative of the Company’s core ongoing operating performance and certain items that affect comparability between periods. Adjusted EBITDA has been recast to reflect the revised definition for all periods presented. See “</w:t>
      </w:r>
      <w:hyperlink w:anchor="i6619b59be68b4f7a9428d08547de7a6a_10">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Distribution, Marketing and Advertiser Relationships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pay traffic acquisition costs, which consist of payments made to market and distribute our services on third-party distribution channels, such as Google and other search engines and social media websites such as Meta. A substantial portion of these activities relies on a limited number of large third-party platforms, including Google. We also incur certain costs at People Inc.’s Print segment, including subscription acquisition costs, which represent commission payments to third-party agents to sell magazine subscriptions, fulfillment costs, which represent costs to manage and prepare our subscription magazines for distribution to our subscribers, and distribution costs, which represent costs to distribute magazines to subscribers and newsstands. People Inc.’s Print segment relies on a limited number of third-party vendors for these costs, including a single subscription management provider, a single printer and a small number of wholesalers for newsstand distribution.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market and offer our services and products to consumers through branded websites and apps, allowing consumers to transact directly with us in a convenient manner. We have made, and expect to continue to make, substantial investments in online and offline advertising to build our brands and drive traffic to our websites and consumers and advertisers to our businesses. However, the effectiveness and efficiency of these investments have become increasingly difficult to predict due to changes in consumer behavior, advertising demand, third-party platform policies and the growing use of AI driven discovery and content delivery mechanisms, which may require increased marketing spend to maintain traffic levels or result in less favorable economics over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 for the Years Ended December 31, 2025, 2024 and 2023</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following discussion should be read in conjunction with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1010" w:type="dxa"/>
        <w:jc w:val="left"/>
        <w:tblInd w:w="0" w:type="dxa"/>
        <w:tblLayout w:type="fixed"/>
        <w:tblCellMar>
          <w:top w:w="28" w:type="dxa"/>
          <w:left w:w="28" w:type="dxa"/>
          <w:bottom w:w="28" w:type="dxa"/>
          <w:right w:w="28" w:type="dxa"/>
        </w:tblCellMar>
      </w:tblPr>
      <w:tblGrid>
        <w:gridCol w:w="440"/>
        <w:gridCol w:w="364"/>
        <w:gridCol w:w="36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736"/>
        <w:gridCol w:w="109"/>
        <w:gridCol w:w="109"/>
        <w:gridCol w:w="109"/>
        <w:gridCol w:w="109"/>
        <w:gridCol w:w="290"/>
        <w:gridCol w:w="290"/>
        <w:gridCol w:w="291"/>
        <w:gridCol w:w="109"/>
        <w:gridCol w:w="109"/>
        <w:gridCol w:w="109"/>
        <w:gridCol w:w="211"/>
        <w:gridCol w:w="826"/>
        <w:gridCol w:w="109"/>
        <w:gridCol w:w="109"/>
        <w:gridCol w:w="109"/>
        <w:gridCol w:w="109"/>
        <w:gridCol w:w="268"/>
        <w:gridCol w:w="268"/>
        <w:gridCol w:w="380"/>
      </w:tblGrid>
      <w:tr>
        <w:trPr/>
        <w:tc>
          <w:tcPr>
            <w:tcW w:w="4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736"/>
        <w:gridCol w:w="645"/>
        <w:gridCol w:w="650"/>
        <w:gridCol w:w="308"/>
        <w:gridCol w:w="308"/>
        <w:gridCol w:w="156"/>
        <w:gridCol w:w="127"/>
        <w:gridCol w:w="127"/>
        <w:gridCol w:w="127"/>
        <w:gridCol w:w="360"/>
        <w:gridCol w:w="361"/>
        <w:gridCol w:w="156"/>
        <w:gridCol w:w="127"/>
        <w:gridCol w:w="127"/>
        <w:gridCol w:w="127"/>
        <w:gridCol w:w="360"/>
        <w:gridCol w:w="361"/>
        <w:gridCol w:w="156"/>
        <w:gridCol w:w="109"/>
        <w:gridCol w:w="109"/>
        <w:gridCol w:w="109"/>
        <w:gridCol w:w="337"/>
        <w:gridCol w:w="339"/>
        <w:gridCol w:w="266"/>
        <w:gridCol w:w="115"/>
        <w:gridCol w:w="115"/>
        <w:gridCol w:w="115"/>
        <w:gridCol w:w="290"/>
        <w:gridCol w:w="290"/>
        <w:gridCol w:w="291"/>
        <w:gridCol w:w="109"/>
        <w:gridCol w:w="109"/>
        <w:gridCol w:w="109"/>
        <w:gridCol w:w="268"/>
        <w:gridCol w:w="268"/>
        <w:gridCol w:w="266"/>
        <w:gridCol w:w="115"/>
        <w:gridCol w:w="115"/>
        <w:gridCol w:w="115"/>
        <w:gridCol w:w="268"/>
        <w:gridCol w:w="268"/>
        <w:gridCol w:w="391"/>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metrics: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Sessions (in millions)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Sessions (in millions)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 xml:space="preserve">People Inc. revenue decreased $15.2 million, or 1%, to $1.8 billion, despite the increase of $74.2 million, or 7%, from Digital, net of intersegment eliminations, due to a decrease of $89.3 million, or 13%, from Print.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The Digital increase was due to increases of $46.6 million, or 21%, in Performance marketing revenue, net of intersegment eliminations, and $32.9 million, or 28%, in Licensing and Other revenue, partially offset by a decrease of $5.4 million, or 1%, in Advertising revenue. </w:t>
      </w:r>
      <w:r>
        <w:rPr>
          <w:rFonts w:ascii="Times New Roman;serif" w:hAnsi="Times New Roman;serif"/>
          <w:b w:val="false"/>
          <w:color w:val="000000"/>
          <w:sz w:val="20"/>
          <w:shd w:fill="FFFFFF" w:val="clear"/>
        </w:rPr>
        <w:t xml:space="preserve">The increase in Performance marketing revenue was due primarily to an increase in affiliate commerce commission revenue due to </w:t>
      </w:r>
      <w:r>
        <w:rPr>
          <w:rFonts w:ascii="Times New Roman;serif" w:hAnsi="Times New Roman;serif"/>
          <w:b w:val="false"/>
          <w:color w:val="000000"/>
          <w:sz w:val="20"/>
        </w:rPr>
        <w:t>higher transaction volumes and the achievement of volume-related retailer incentive programs</w:t>
      </w:r>
      <w:r>
        <w:rPr>
          <w:rFonts w:ascii="Times New Roman;serif" w:hAnsi="Times New Roman;serif"/>
          <w:b w:val="false"/>
          <w:color w:val="000000"/>
          <w:sz w:val="20"/>
          <w:shd w:fill="FFFFFF" w:val="clear"/>
        </w:rPr>
        <w:t>, partially offset by a decrease in performance marketing service revenue primarily in the Finance category. The increase in Licensing and Other revenue was due primarily to improved performance of Apple News+ and content syndication partners and to the contribution of a full year of OpenAI revenue, a partnership which began in May 2024. The decrease in Advertising revenue was due primarily to lower programmatic revenue and the inclusion in 2024 of political advertising revenu</w:t>
      </w:r>
      <w:r>
        <w:rPr>
          <w:rFonts w:ascii="Times New Roman;serif" w:hAnsi="Times New Roman;serif"/>
          <w:b w:val="false"/>
          <w:color w:val="000000"/>
          <w:sz w:val="20"/>
        </w:rPr>
        <w:t xml:space="preserve">e spend on third-party publisher platforms, which is higher biennially aligning with election years. The programmatic revenue decline was due primarily to lower impression volumes driven by </w:t>
      </w:r>
      <w:r>
        <w:rPr>
          <w:rFonts w:ascii="Times New Roman;serif" w:hAnsi="Times New Roman;serif"/>
          <w:b w:val="false"/>
          <w:color w:val="000000"/>
          <w:sz w:val="20"/>
          <w:shd w:fill="FFFFFF" w:val="clear"/>
        </w:rPr>
        <w:t>a 5% decline in Core Sessions, due primarily to the impact of the increasing prominence of Google AI Overviews on Google search sessions, and an increased portion of impression volume consumed by premium advertising, partially offset by higher programmatic rates. The Comp</w:t>
      </w:r>
      <w:r>
        <w:rPr>
          <w:rFonts w:ascii="Times New Roman;serif" w:hAnsi="Times New Roman;serif"/>
          <w:b w:val="false"/>
          <w:color w:val="000000"/>
          <w:sz w:val="20"/>
        </w:rPr>
        <w:t>any expects the increasing prominence of Google AI Overviews to continue to negatively impact Core Sessions and advertising revenue. These decreases in Advertising revenue were partially offset by an increase in premium advertising sold through the People Inc. sales team in the Health and Pharmaceuticals, Technology and Travel categories as well as the increasing contribution from the D/Cipher+ advertising product.</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Print decrease was due primarily to decreases of $38.5 million, or 12%, in subscription revenue, $26.3 million, or 15%, in advertising revenue, $16.3 million, or 22%, in project and other revenue and $8.8 million, or 25%, in performance marketing revenue. The decreases in subscription revenue, advertising revenue and performance marketing revenue were all due, in part, to ongoing portfolio optimization changes that resulted in a reduction in the number of issues sold in the current year compared to the prior year and the ongoing and continuing broader migration of audience from print to digital platforms. The decrease in project and other revenue was due primarily to fewer project-related contracts compared to the prior year. The Company expects these trends in Print revenue declines to continue due to continuing broader migration of audience from print to digital platforms and our efforts to optimize our ongoing portfolio changes.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Emerging &amp; Other revenue decreased $18.0 million, or 20%, to $71.0 million due primarily to the inclusion in the prior year of $17.8 million in revenue from Mosaic Group, the assets of which were sold on February 15, 2024, and decreases of $4.8 million, or 61%, from IAC Films and $1.3 million, or 3%, from Vivian Health, partially offset by an increase in revenue of $5.9 million, or 29%, from The Daily Beast.</w:t>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120" w:after="240"/>
        <w:ind w:left="0" w:right="0" w:hanging="270"/>
        <w:jc w:val="left"/>
        <w:rPr/>
      </w:pPr>
      <w:r>
        <w:rPr>
          <w:color w:val="000000"/>
          <w:shd w:fill="FFFFFF" w:val="clear"/>
        </w:rPr>
        <w:t>•</w:t>
      </w:r>
      <w:r>
        <w:rPr>
          <w:rFonts w:ascii="Times New Roman;serif" w:hAnsi="Times New Roman;serif"/>
          <w:b w:val="false"/>
          <w:color w:val="000000"/>
          <w:sz w:val="20"/>
        </w:rPr>
        <w:t>People Inc. revenue increased 5% to $1.8 billion due to an increase of $146.7 million, or 16%, net of intersegment eliminations, from Digital, partially offset by a decrease of $64.4 million, or 8%, from Print.</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increases of $117.5 million, or 19%, in Advertising Revenue, $16.2 million, or 16%, in Licensing and Other Revenue and $13.0 million, or 6%, in Performance Marketing Revenue, net of intersegment eliminations. The increase in Advertising Revenue was driven primarily by an increase in premium advertising sold through the People Inc. sales team in the Technology, Home/Consumer Packaged Goods and Pharmaceuticals categories, as well as higher programmatic revenue as a result of an increase in programmatic rates and an 8% increase in Core Sessions </w:t>
      </w:r>
      <w:r>
        <w:rPr>
          <w:rFonts w:ascii="Times New Roman;serif" w:hAnsi="Times New Roman;serif"/>
          <w:b w:val="false"/>
          <w:color w:val="000000"/>
          <w:sz w:val="20"/>
          <w:shd w:fill="FFFFFF" w:val="clear"/>
        </w:rPr>
        <w:t>and the inclusion in 2024 of political advertising revenu</w:t>
      </w:r>
      <w:r>
        <w:rPr>
          <w:rFonts w:ascii="Times New Roman;serif" w:hAnsi="Times New Roman;serif"/>
          <w:b w:val="false"/>
          <w:color w:val="000000"/>
          <w:sz w:val="20"/>
        </w:rPr>
        <w:t xml:space="preserve">e spend on third-party publisher platforms, which is higher biennially aligning with election years. </w:t>
      </w:r>
      <w:r>
        <w:rPr>
          <w:rFonts w:ascii="Times New Roman;serif" w:hAnsi="Times New Roman;serif"/>
          <w:b w:val="false"/>
          <w:color w:val="000000"/>
          <w:sz w:val="20"/>
          <w:shd w:fill="FFFFFF" w:val="clear"/>
        </w:rPr>
        <w:t>The increase in Licensing and Other Revenue was due primarily to the addition of the OpenAI partnership, which began in May 2024, and improved performance of content syndication partners including Apple News+, partially offset by a decrease in brand licensing revenue due to lower royalties. The increase in Performance Marketing Revenue was due primarily to an increase in affiliate commerce commission revenue, partially offset by a decrease in Performance Marketing revenue in the Finance and Food and Beverage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rPr>
        <w:t xml:space="preserve">The Print decrease was due primarily to decreases of $28.3 million, or 14%, in advertising revenue, $15.2 million, or 13%, in newsstand revenue, $10.3 million, or 23%, in performance marketing revenue and $8.2 million, or 10%, in project and other revenue. The decreases in advertising revenue, newsstand revenue and performance marketing revenue are all due, in part, to a reduction in the number of issues sold in the current year compared to the prior year and the ongoing migration of audience from print to digital platforms. The decrease in project and other revenue was due primarily to fewer project-related contracts compared to the prior year.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Emerging &amp; Other revenue decreased 61% to $89.0 million due primarily to a decrease of $137.8 million in revenue ($17.8 million in 2024 compared to $155.7 million in 2023) from Mosaic Group, the assets of which were sold on February 15, 2024, and a decrease of $8.0 million in revenue from IAC Films, partially offset by an increase of $6.0 million in revenue from The Daily Beast.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 (exclusive of depreciation shown separately below)</w:t>
      </w:r>
    </w:p>
    <w:tbl>
      <w:tblPr>
        <w:tblW w:w="10926" w:type="dxa"/>
        <w:jc w:val="left"/>
        <w:tblInd w:w="0" w:type="dxa"/>
        <w:tblLayout w:type="fixed"/>
        <w:tblCellMar>
          <w:top w:w="28" w:type="dxa"/>
          <w:left w:w="28" w:type="dxa"/>
          <w:bottom w:w="28" w:type="dxa"/>
          <w:right w:w="28" w:type="dxa"/>
        </w:tblCellMar>
      </w:tblPr>
      <w:tblGrid>
        <w:gridCol w:w="413"/>
        <w:gridCol w:w="363"/>
        <w:gridCol w:w="36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290"/>
        <w:gridCol w:w="290"/>
        <w:gridCol w:w="291"/>
        <w:gridCol w:w="109"/>
        <w:gridCol w:w="109"/>
        <w:gridCol w:w="109"/>
        <w:gridCol w:w="211"/>
        <w:gridCol w:w="736"/>
        <w:gridCol w:w="109"/>
        <w:gridCol w:w="109"/>
        <w:gridCol w:w="109"/>
        <w:gridCol w:w="109"/>
        <w:gridCol w:w="268"/>
        <w:gridCol w:w="268"/>
        <w:gridCol w:w="380"/>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 2025 decreased from 2024 due primarily to decreases of $22.3 million from People Inc. and $9.2 million from Emerging &amp; Other.</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rPr>
        <w:t>The People Inc. decrease was due primarily to a decrease of $42.1 million from Print, partially offset by an increase of $19.8 million from Digital.</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Print decrease was due primarily to decreases of $39.0 million in production and distribution costs (postage, paper, printing and editorial) resulting from the planned reduction in the number of printed copies of certain publications and a corresponding reduction in the amount of paper purchased and a net decrease of $4.7 million in compensation expense primarily related to headcount reductions to better align the business with strategic growth priorities. Included in the net decrease in compensation expense is an increase of $1.6 million in severance-related costs ($3.7 million in 2025 compared to $2.1 million in 2024).</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Digital increase was due primarily to increases of $21.5 million in compensation expense, $3.4 million in traffic acquisition costs and $3.0 million in content costs, partially offset by a net decrease of $9.3 million in costs related to the purchase of advertising inventory to fulfill political advertising on third-party publisher platforms from an agency business in the prior year, partially offset by an increase in advertising inventory for campaigns sold with D/Cipher+. The increase in compensation expense was due primarily to an increase in salary-related expenses driven by an increase in headcount and an increase of $2.9 million in severance-related costs to better align the business with strategic growth priorities ($4.5 million in 2025 compared to $1.5 million in 2024). The increase in traffic acquisition costs was due primarily to an increase in the proportion of revenue earned from video advertising on third-party platforms and to a new contractual relationship entered into in the prior year to increase programmatic revenue rates. The increase in content costs was due primarily to an increase in advertising revenue.</w:t>
      </w:r>
    </w:p>
    <w:p>
      <w:pPr>
        <w:pStyle w:val="TextBody"/>
        <w:bidi w:val="0"/>
        <w:spacing w:before="0" w:after="0"/>
        <w:ind w:left="0" w:right="0" w:firstLine="90"/>
        <w:jc w:val="left"/>
        <w:rPr/>
      </w:pPr>
      <w:r>
        <w:rPr/>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Emerging &amp; Other decrease was due primarily to the inclusion in the prior year of $7.4 million in expense from Mosaic Group, the assets of which were sold on February 15, 2024, and a decrease of $2.0 million in compensation expense at The Daily Beast resulting from the planned reduction in editorial staff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 2024 decreased from 2023 due primarily to a decrease of $41.1 million from Emerging &amp; Other, partially offset by an increase of $5.2 million from People Inc. </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The Emerging &amp; Other decrease was due primarily to a decrease in expense of $34.4 million from Mosaic Group, the assets of which were sold on February 15, 2024.</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The People Inc. increase was due primarily to an increase of $49.2 million from Digital, partially offset by a decrease of $44.0 million from Print.</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increases of $19.8 million in compensation expense, $17.5 million related to the purchase of advertising inventory to fulfill political advertising on third-party platforms in 2024 and $7.5 million in traffic acquisition costs. The increase in compensation expense was due primarily to an increase in headcount. The increase in traffic acquisition costs was due primarily to a new contractual relationship to increase programmatic rates. </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 xml:space="preserve">The Print decrease was due primarily to a decrease of $48.3 million in production and distribution costs (postage, printing, paper and content) resulting from a planned reduction in the number of printed copies of certain publications and decreases in paper costs and freight surcharges, partially offset by an increase of $2.6 million in compensation expense due, in part, to $2.1 million in severance expense incurred in the fourth quarter of 2024 primarily related to headcount reductions intended to better align resources with strategic initiatives.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and marketing expense</w:t>
      </w:r>
    </w:p>
    <w:tbl>
      <w:tblPr>
        <w:tblW w:w="10686" w:type="dxa"/>
        <w:jc w:val="left"/>
        <w:tblInd w:w="0" w:type="dxa"/>
        <w:tblLayout w:type="fixed"/>
        <w:tblCellMar>
          <w:top w:w="28" w:type="dxa"/>
          <w:left w:w="28" w:type="dxa"/>
          <w:bottom w:w="28" w:type="dxa"/>
          <w:right w:w="28" w:type="dxa"/>
        </w:tblCellMar>
      </w:tblPr>
      <w:tblGrid>
        <w:gridCol w:w="402"/>
        <w:gridCol w:w="301"/>
        <w:gridCol w:w="303"/>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631"/>
        <w:gridCol w:w="109"/>
        <w:gridCol w:w="109"/>
        <w:gridCol w:w="109"/>
        <w:gridCol w:w="109"/>
        <w:gridCol w:w="290"/>
        <w:gridCol w:w="290"/>
        <w:gridCol w:w="291"/>
        <w:gridCol w:w="109"/>
        <w:gridCol w:w="109"/>
        <w:gridCol w:w="109"/>
        <w:gridCol w:w="211"/>
        <w:gridCol w:w="736"/>
        <w:gridCol w:w="109"/>
        <w:gridCol w:w="109"/>
        <w:gridCol w:w="109"/>
        <w:gridCol w:w="109"/>
        <w:gridCol w:w="268"/>
        <w:gridCol w:w="268"/>
        <w:gridCol w:w="380"/>
      </w:tblGrid>
      <w:tr>
        <w:trPr/>
        <w:tc>
          <w:tcPr>
            <w:tcW w:w="4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 in 2025 decreased from 2024 due primarily to a decrease of $15.0 million from Emerging &amp; Other, partially offset by an increase of $7.5 million from People Inc.</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Emerging &amp; Other decrease was due primarily to the inclusion in the prior year of </w:t>
      </w:r>
      <w:r>
        <w:rPr>
          <w:rFonts w:ascii="Times New Roman;serif" w:hAnsi="Times New Roman;serif"/>
          <w:b w:val="false"/>
          <w:color w:val="000000"/>
          <w:sz w:val="20"/>
          <w:shd w:fill="FFFFFF" w:val="clear"/>
        </w:rPr>
        <w:t>$8.3 million</w:t>
      </w:r>
      <w:r>
        <w:rPr>
          <w:color w:val="000000"/>
        </w:rPr>
        <w:t xml:space="preserve"> </w:t>
      </w:r>
      <w:r>
        <w:rPr>
          <w:rFonts w:ascii="Times New Roman;serif" w:hAnsi="Times New Roman;serif"/>
          <w:b w:val="false"/>
          <w:color w:val="000000"/>
          <w:sz w:val="20"/>
        </w:rPr>
        <w:t>of expense from Mosaic Group, the assets of which were sold on February 15, 2024, decreases of $2.6 million in compensation expense due to a reduction in headcount and $0.9 million in third-party costs at Vivian Health, and a decrease of $1.6 million in offline marketing spend at IAC Films.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People Inc. increase was due primarily to an increase of $52.2 million from Digital, partially offset by a decrease of $44.7 million from Print, net of intersegment eliminations.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increases of $44.5 million in advertising and events production expense and $11.2 million in compensation expense, partially offset by a decrease of $4.0 million in costs due primarily to commissions on political advertising sold on third-party platforms from an agency business in the prior year. The increase in advertising and events production expense was due, in part, to online marketing spend due primarily to an increase in paid affiliate commerce commission revenue. The increase in compensation expense was due to increases in salary and commissions driven by an increase in headcount and $3.0 million in severance-related costs in 2025 to better align the business with strategic growth priorities.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Print decrease was due primarily to decreases of $18.1 million in subscription acquisition costs due primarily to the on-going portfolio optimization changes that reduced the number of issues produced compared to the prior year, $13.0 million in advertising and events production expense due, in part, to the promotion of branded events in the prior year and a decrease in direct mail marketing spend and $9.6 million in compensation expense due to headcount reductions to better align the business with strategic growth priorities and a decrease in severance-related costs ($2.3 million in 2025 compared to $3.5 million in 2024).</w:t>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 in 2024 decreased from 2023 due primarily to a decrease of $52.3 million from Emerging &amp; Other, partially offset by an increase of $41.0 million from People Inc.</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rPr>
        <w:t xml:space="preserve">The Emerging &amp; Other decrease was due primarily to a decrease in expense of </w:t>
      </w:r>
      <w:r>
        <w:rPr>
          <w:rFonts w:ascii="Times New Roman;serif" w:hAnsi="Times New Roman;serif"/>
          <w:b w:val="false"/>
          <w:color w:val="000000"/>
          <w:sz w:val="20"/>
          <w:shd w:fill="FFFFFF" w:val="clear"/>
        </w:rPr>
        <w:t>$50.2 million</w:t>
      </w:r>
      <w:r>
        <w:rPr>
          <w:color w:val="000000"/>
        </w:rPr>
        <w:t xml:space="preserve"> </w:t>
      </w:r>
      <w:r>
        <w:rPr>
          <w:rFonts w:ascii="Times New Roman;serif" w:hAnsi="Times New Roman;serif"/>
          <w:b w:val="false"/>
          <w:color w:val="000000"/>
          <w:sz w:val="20"/>
        </w:rPr>
        <w:t>from Mosaic Group, the assets of which were sold on February 15, 2024.</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The People Inc. increase was due primarily to increases of $37.0 million from Digital and $4.0 million from Print, net of intersegment eliminations.</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increases of $15.4 million in compensation expense and $15.1 million in online marketing spend. The increase in compensation expense was due primarily to increases in salary, commissions and employee benefits. The increase in online marketing spend was due primarily to an increase in paid affiliate commerce. </w:t>
      </w:r>
    </w:p>
    <w:p>
      <w:pPr>
        <w:pStyle w:val="TextBody"/>
        <w:bidi w:val="0"/>
        <w:spacing w:lineRule="auto" w:line="288" w:before="240" w:after="240"/>
        <w:ind w:left="0" w:right="0" w:hanging="270"/>
        <w:jc w:val="left"/>
        <w:rPr/>
      </w:pPr>
      <w:r>
        <w:rPr>
          <w:color w:val="000000"/>
        </w:rPr>
        <w:t>◦</w:t>
      </w:r>
      <w:r>
        <w:rPr>
          <w:rFonts w:ascii="Times New Roman;serif" w:hAnsi="Times New Roman;serif"/>
          <w:b w:val="false"/>
          <w:color w:val="000000"/>
          <w:sz w:val="20"/>
        </w:rPr>
        <w:t>The Print increase was due primarily to increases of $8.4 million in subscription acquisition costs and $1.1 million in compensation expense, partially offset by decreases of $0.8 million in sales and marketing research and $0.3 million in advertising expense. The increase in subscription acquisition costs resulted from an increase in the use of agents to source subscribers. The increase in compensation expense was due primarily to an increase of $3.5 million in severance expense incurred in the fourth quarter of 2024 primarily related to headcount reductions intended to better align resources with strategic initiatives, partially offset by decreases of $1.5 million in salary expense and $1.2 million in sales commissions.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11229" w:type="dxa"/>
        <w:jc w:val="left"/>
        <w:tblInd w:w="0" w:type="dxa"/>
        <w:tblLayout w:type="fixed"/>
        <w:tblCellMar>
          <w:top w:w="28" w:type="dxa"/>
          <w:left w:w="28" w:type="dxa"/>
          <w:bottom w:w="28" w:type="dxa"/>
          <w:right w:w="28" w:type="dxa"/>
        </w:tblCellMar>
      </w:tblPr>
      <w:tblGrid>
        <w:gridCol w:w="468"/>
        <w:gridCol w:w="411"/>
        <w:gridCol w:w="41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290"/>
        <w:gridCol w:w="290"/>
        <w:gridCol w:w="291"/>
        <w:gridCol w:w="109"/>
        <w:gridCol w:w="109"/>
        <w:gridCol w:w="109"/>
        <w:gridCol w:w="211"/>
        <w:gridCol w:w="736"/>
        <w:gridCol w:w="109"/>
        <w:gridCol w:w="109"/>
        <w:gridCol w:w="109"/>
        <w:gridCol w:w="109"/>
        <w:gridCol w:w="109"/>
        <w:gridCol w:w="109"/>
        <w:gridCol w:w="85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 2025 decreased from 2024 due to decreases of $43.5 million from People Inc. and $26.8 million from Corporate, partially offset by an increase of $13.0 million from Emerging &amp; Other. </w:t>
      </w:r>
    </w:p>
    <w:p>
      <w:pPr>
        <w:pStyle w:val="TextBody"/>
        <w:bidi w:val="0"/>
        <w:spacing w:lineRule="auto" w:line="268" w:before="0" w:after="0"/>
        <w:ind w:left="0" w:right="0" w:hanging="270"/>
        <w:jc w:val="left"/>
        <w:rPr/>
      </w:pPr>
      <w:r>
        <w:rPr>
          <w:color w:val="000000"/>
          <w:shd w:fill="FFFFFF" w:val="clear"/>
        </w:rPr>
        <w:t>•</w:t>
      </w:r>
      <w:r>
        <w:rPr>
          <w:rFonts w:ascii="Times New Roman;serif" w:hAnsi="Times New Roman;serif"/>
          <w:b w:val="false"/>
          <w:color w:val="000000"/>
          <w:sz w:val="20"/>
        </w:rPr>
        <w:t>The People Inc. decrease was due primarily to the inclusion in 2025 of net gains of $41.5 million at Other (unallocated corporate expenses) resulting from the amendments to a lease, which provided for the surrender of certain office space early. The ROU asset of the amended lease had been previously impaired in prior years.</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Corporate decrease was due primarily to a decrease in compensation expense of $40.5 million, partially offset by </w:t>
      </w:r>
      <w:r>
        <w:rPr>
          <w:rFonts w:ascii="Times New Roman;serif" w:hAnsi="Times New Roman;serif"/>
          <w:b w:val="false"/>
          <w:color w:val="000000"/>
          <w:sz w:val="20"/>
        </w:rPr>
        <w:t xml:space="preserve">the inclusion in the prior year of a $10.0 million </w:t>
      </w:r>
      <w:r>
        <w:rPr>
          <w:rFonts w:ascii="Times New Roman;serif" w:hAnsi="Times New Roman;serif"/>
          <w:b w:val="false"/>
          <w:color w:val="000000"/>
          <w:sz w:val="20"/>
          <w:shd w:fill="FFFFFF" w:val="clear"/>
        </w:rPr>
        <w:t xml:space="preserve">benefit related to a favorable settlement of a legal matter and an increase of $1.4 million in </w:t>
      </w:r>
      <w:r>
        <w:rPr>
          <w:rFonts w:ascii="Times New Roman;serif" w:hAnsi="Times New Roman;serif"/>
          <w:b w:val="false"/>
          <w:color w:val="000000"/>
          <w:sz w:val="20"/>
        </w:rPr>
        <w:t xml:space="preserve">transaction-related costs related to the Distribution ($4.8 million in 2025 compared to $3.3 million in 2024). The decrease in compensation expense was due primarily to a decrease of $51.1 million in stock-based compensation expense due primarily to the inclusion in the prior year of $11.9 million of expense related to our former Chief Executive Officer’s (“CEO”) restricted stock award, which was forfeited on January 13, 2025 pursuant to his employment transition agreement (the “Employment Transition Agreement”) and the reversal in the current year of $49.8 million of previously recognized expense related to the forfeiture of such restricted stock award, partially offset by $14.9 million of stock-based compensation expense related to the transfer of 5.0 million Class B shares of Angi held by the Company to our former CEO prior to the Distribution pursuant to the Employment Transition Agreement. Partially offsetting this decrease in stock-based compensation expense is $15.2 million in separation benefits to our former CEO under the Employment Transition Agreement and $2.7 million in severance and related expenses driven by certain headcount reductions.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Emerging &amp; Other increase was due primarily to an increase of $19.4 million in legal fees and settlement expenses for litigation that concluded in the third quarter of 2025 related to a legacy business, partially offset by the inclusion in the prior year period of $9.4 million of expense from Mosaic Group, the assets of which were sold on February 15, 2024.</w:t>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 2024 decreased from 2023 due primarily to decreases of $42.6 million from People Inc. and $10.4 million from Emerging &amp; Other.</w:t>
      </w:r>
    </w:p>
    <w:p>
      <w:pPr>
        <w:pStyle w:val="TextBody"/>
        <w:bidi w:val="0"/>
        <w:spacing w:lineRule="auto" w:line="268" w:before="0" w:after="0"/>
        <w:ind w:left="0" w:right="0" w:hanging="270"/>
        <w:jc w:val="left"/>
        <w:rPr/>
      </w:pPr>
      <w:r>
        <w:rPr>
          <w:color w:val="000000"/>
          <w:shd w:fill="FFFFFF" w:val="clear"/>
        </w:rPr>
        <w:t>•</w:t>
      </w:r>
      <w:r>
        <w:rPr>
          <w:rFonts w:ascii="Times New Roman;serif" w:hAnsi="Times New Roman;serif"/>
          <w:b w:val="false"/>
          <w:color w:val="000000"/>
          <w:sz w:val="20"/>
        </w:rPr>
        <w:t>The People Inc. decrease was due primarily to the inclusion in 2023 of an impairment charge of $44.7 million of an ROU asset related to unoccupied lease space at Other (unallocated corporate costs), resulting from the continued decline in the commercial real estate market.</w:t>
      </w:r>
    </w:p>
    <w:p>
      <w:pPr>
        <w:pStyle w:val="TextBody"/>
        <w:bidi w:val="0"/>
        <w:spacing w:before="0" w:after="0"/>
        <w:ind w:left="0" w:right="0" w:firstLine="90"/>
        <w:jc w:val="left"/>
        <w:rPr/>
      </w:pPr>
      <w:r>
        <w:rPr/>
      </w:r>
    </w:p>
    <w:p>
      <w:pPr>
        <w:pStyle w:val="TextBody"/>
        <w:bidi w:val="0"/>
        <w:spacing w:lineRule="auto" w:line="268" w:before="0" w:after="240"/>
        <w:ind w:left="0" w:right="0" w:hanging="270"/>
        <w:jc w:val="left"/>
        <w:rPr/>
      </w:pPr>
      <w:r>
        <w:rPr>
          <w:color w:val="000000"/>
          <w:shd w:fill="FFFFFF" w:val="clear"/>
        </w:rPr>
        <w:t>•</w:t>
      </w:r>
      <w:r>
        <w:rPr>
          <w:rFonts w:ascii="Times New Roman;serif" w:hAnsi="Times New Roman;serif"/>
          <w:b w:val="false"/>
          <w:color w:val="000000"/>
          <w:sz w:val="20"/>
        </w:rPr>
        <w:t>The Emerging &amp; Other decrease was due primarily to a decrease in expense of $8.2 million from Mosaic Group, the assets of which were sold on February 15, 2024, and decreases of $4.4 million in compensation expense at Newco (the Company’s former incubator company), due primarily to a reduction in headcount, and $3.0 million in consulting costs at IAC Films, partially offset by an increase of $8.1 million in legal fees.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Product development expense</w:t>
      </w:r>
    </w:p>
    <w:tbl>
      <w:tblPr>
        <w:tblW w:w="10866" w:type="dxa"/>
        <w:jc w:val="left"/>
        <w:tblInd w:w="0" w:type="dxa"/>
        <w:tblLayout w:type="fixed"/>
        <w:tblCellMar>
          <w:top w:w="28" w:type="dxa"/>
          <w:left w:w="28" w:type="dxa"/>
          <w:bottom w:w="28" w:type="dxa"/>
          <w:right w:w="28" w:type="dxa"/>
        </w:tblCellMar>
      </w:tblPr>
      <w:tblGrid>
        <w:gridCol w:w="430"/>
        <w:gridCol w:w="377"/>
        <w:gridCol w:w="37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290"/>
        <w:gridCol w:w="290"/>
        <w:gridCol w:w="291"/>
        <w:gridCol w:w="109"/>
        <w:gridCol w:w="109"/>
        <w:gridCol w:w="109"/>
        <w:gridCol w:w="211"/>
        <w:gridCol w:w="631"/>
        <w:gridCol w:w="109"/>
        <w:gridCol w:w="109"/>
        <w:gridCol w:w="109"/>
        <w:gridCol w:w="109"/>
        <w:gridCol w:w="268"/>
        <w:gridCol w:w="268"/>
        <w:gridCol w:w="380"/>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 in 2025 decreased from 2024 due primarily to decreases of $15.9 million from People Inc. and $12.2 million from Emerging &amp; Other.</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rPr>
        <w:t>The People Inc. decrease was due primarily to decreases of $11.7 million and $4.3 million from Digital and Print, respectively, resulting from decreases in compensation expense related to headcount reductions. The decrease in compensation expense from Digital was net of increased investment in D/Cipher+ and the PEOPLE app.</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Emerging &amp; Other decrease was due primarily to the inclusion in the prior year period of </w:t>
      </w:r>
      <w:r>
        <w:rPr>
          <w:rFonts w:ascii="Times New Roman;serif" w:hAnsi="Times New Roman;serif"/>
          <w:b w:val="false"/>
          <w:color w:val="000000"/>
          <w:sz w:val="20"/>
        </w:rPr>
        <w:t>$8.0 million of expense from Mosaic Group, the assets of which were sold on February 15, 2024, and a decrease of $4.0 million in compensation expense at Vivian Health due primarily to a reduction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 in 2024 decreased from 2023 due primarily to a decrease of $12.1 million from Emerging &amp; Other, partially offset by an increase of $8.4 million from People Inc.</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Emerging &amp; Other decrease was due primarily to decreases of </w:t>
      </w:r>
      <w:r>
        <w:rPr>
          <w:rFonts w:ascii="Times New Roman;serif" w:hAnsi="Times New Roman;serif"/>
          <w:b w:val="false"/>
          <w:color w:val="000000"/>
          <w:sz w:val="20"/>
        </w:rPr>
        <w:t xml:space="preserve">$8.8 million in expense from Mosaic Group, the assets of which were sold on February 15, 2024, and $2.6 </w:t>
      </w:r>
      <w:r>
        <w:rPr>
          <w:rFonts w:ascii="Times New Roman;serif" w:hAnsi="Times New Roman;serif"/>
          <w:b w:val="false"/>
          <w:color w:val="000000"/>
          <w:sz w:val="20"/>
          <w:shd w:fill="FFFFFF" w:val="clear"/>
        </w:rPr>
        <w:t>million in compensation expense at Vivian Health due primarily to a reduction in headcount.</w:t>
      </w:r>
    </w:p>
    <w:p>
      <w:pPr>
        <w:pStyle w:val="TextBody"/>
        <w:bidi w:val="0"/>
        <w:spacing w:lineRule="auto" w:line="288" w:before="240" w:after="24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People Inc. increase was due primarily to an increase of </w:t>
      </w:r>
      <w:r>
        <w:rPr>
          <w:rFonts w:ascii="Times New Roman;serif" w:hAnsi="Times New Roman;serif"/>
          <w:b w:val="false"/>
          <w:color w:val="000000"/>
          <w:sz w:val="20"/>
        </w:rPr>
        <w:t>$9.2 million from Digital due primarily to an increase of $14.3 million in compensation expense, partially offset by decreases of $3.5 million in outsourced personnel costs and $2.3 million in software license and maintenance costs. The increase in compensation expense is due to an increase in headcount, which was partially offset by a reduction in outsourced personnel costs due to a reduction in the use of third-party contractors. The decrease in software license and maintenance costs was due primarily to a reduction in software contract renewals.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Depreciation</w:t>
      </w:r>
    </w:p>
    <w:tbl>
      <w:tblPr>
        <w:tblW w:w="10381" w:type="dxa"/>
        <w:jc w:val="left"/>
        <w:tblInd w:w="0" w:type="dxa"/>
        <w:tblLayout w:type="fixed"/>
        <w:tblCellMar>
          <w:top w:w="28" w:type="dxa"/>
          <w:left w:w="28" w:type="dxa"/>
          <w:bottom w:w="28" w:type="dxa"/>
          <w:right w:w="28" w:type="dxa"/>
        </w:tblCellMar>
      </w:tblPr>
      <w:tblGrid>
        <w:gridCol w:w="424"/>
        <w:gridCol w:w="373"/>
        <w:gridCol w:w="37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290"/>
        <w:gridCol w:w="290"/>
        <w:gridCol w:w="291"/>
        <w:gridCol w:w="109"/>
        <w:gridCol w:w="109"/>
        <w:gridCol w:w="109"/>
        <w:gridCol w:w="211"/>
        <w:gridCol w:w="736"/>
        <w:gridCol w:w="109"/>
        <w:gridCol w:w="109"/>
        <w:gridCol w:w="109"/>
        <w:gridCol w:w="109"/>
        <w:gridCol w:w="268"/>
        <w:gridCol w:w="268"/>
        <w:gridCol w:w="380"/>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in 2025 was flat relative to 2024.</w:t>
      </w:r>
    </w:p>
    <w:p>
      <w:pPr>
        <w:pStyle w:val="TextBody"/>
        <w:bidi w:val="0"/>
        <w:spacing w:lineRule="auto" w:line="28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88" w:before="120" w:after="240"/>
        <w:ind w:left="0" w:right="0" w:firstLine="450"/>
        <w:jc w:val="left"/>
        <w:rPr/>
      </w:pPr>
      <w:r>
        <w:rPr>
          <w:rFonts w:ascii="Times New Roman;serif" w:hAnsi="Times New Roman;serif"/>
          <w:b w:val="false"/>
          <w:color w:val="000000"/>
          <w:sz w:val="20"/>
        </w:rPr>
        <w:t xml:space="preserve">Depreciation in 2024 decreased from </w:t>
      </w:r>
      <w:r>
        <w:rPr>
          <w:rFonts w:ascii="Times New Roman;serif" w:hAnsi="Times New Roman;serif"/>
          <w:b w:val="false"/>
          <w:color w:val="000000"/>
          <w:sz w:val="20"/>
          <w:shd w:fill="FFFFFF" w:val="clear"/>
        </w:rPr>
        <w:t>2023</w:t>
      </w:r>
      <w:r>
        <w:rPr>
          <w:color w:val="000000"/>
        </w:rPr>
        <w:t xml:space="preserve"> </w:t>
      </w:r>
      <w:r>
        <w:rPr>
          <w:rFonts w:ascii="Times New Roman;serif" w:hAnsi="Times New Roman;serif"/>
          <w:b w:val="false"/>
          <w:color w:val="000000"/>
          <w:sz w:val="20"/>
        </w:rPr>
        <w:t>due primarily to a decrease of $44.0 million at People Inc. due primarily to the inclusion of an impairment charge of $25.3 million recognized in 2023 related to leasehold improvements and furniture and equipment resulting from unoccupied leased space, a $4.2 million write-off of certain leasehold improvements and furniture and equipment during 2023 and a decrease in expense related to the acceleration of depreciation on certain assets in 2023.</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Amortization of intangibles</w:t>
      </w:r>
    </w:p>
    <w:tbl>
      <w:tblPr>
        <w:tblW w:w="10986" w:type="dxa"/>
        <w:jc w:val="left"/>
        <w:tblInd w:w="0" w:type="dxa"/>
        <w:tblLayout w:type="fixed"/>
        <w:tblCellMar>
          <w:top w:w="28" w:type="dxa"/>
          <w:left w:w="28" w:type="dxa"/>
          <w:bottom w:w="28" w:type="dxa"/>
          <w:right w:w="28" w:type="dxa"/>
        </w:tblCellMar>
      </w:tblPr>
      <w:tblGrid>
        <w:gridCol w:w="435"/>
        <w:gridCol w:w="382"/>
        <w:gridCol w:w="384"/>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290"/>
        <w:gridCol w:w="290"/>
        <w:gridCol w:w="291"/>
        <w:gridCol w:w="109"/>
        <w:gridCol w:w="109"/>
        <w:gridCol w:w="109"/>
        <w:gridCol w:w="211"/>
        <w:gridCol w:w="841"/>
        <w:gridCol w:w="109"/>
        <w:gridCol w:w="109"/>
        <w:gridCol w:w="109"/>
        <w:gridCol w:w="109"/>
        <w:gridCol w:w="268"/>
        <w:gridCol w:w="268"/>
        <w:gridCol w:w="380"/>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120" w:after="240"/>
        <w:ind w:left="0" w:right="0" w:firstLine="450"/>
        <w:jc w:val="left"/>
        <w:rPr/>
      </w:pPr>
      <w:r>
        <w:rPr>
          <w:rFonts w:ascii="Times New Roman;serif" w:hAnsi="Times New Roman;serif"/>
          <w:b w:val="false"/>
          <w:color w:val="000000"/>
          <w:sz w:val="20"/>
          <w:shd w:fill="FFFFFF" w:val="clear"/>
        </w:rPr>
        <w:t xml:space="preserve">Amortization of intangibles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decreased from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d</w:t>
      </w:r>
      <w:r>
        <w:rPr>
          <w:rFonts w:ascii="Times New Roman;serif" w:hAnsi="Times New Roman;serif"/>
          <w:b w:val="false"/>
          <w:color w:val="000000"/>
          <w:sz w:val="20"/>
        </w:rPr>
        <w:t>ue primarily to lower expense at People Inc. due to certain intangible assets that became fully amortized in the prior year.</w:t>
      </w:r>
    </w:p>
    <w:p>
      <w:pPr>
        <w:pStyle w:val="TextBody"/>
        <w:bidi w:val="0"/>
        <w:spacing w:lineRule="auto" w:line="268" w:before="120" w:after="240"/>
        <w:ind w:left="0" w:right="0" w:firstLine="450"/>
        <w:jc w:val="left"/>
        <w:rPr/>
      </w:pPr>
      <w:r>
        <w:rPr>
          <w:rFonts w:ascii="Times New Roman;serif" w:hAnsi="Times New Roman;serif"/>
          <w:b w:val="false"/>
          <w:color w:val="000000"/>
          <w:sz w:val="20"/>
        </w:rPr>
        <w:t>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 xml:space="preserve">for further discussion of the Company’s assessment of impairment of indefinite-lived intangible assets. </w:t>
      </w:r>
    </w:p>
    <w:p>
      <w:pPr>
        <w:pStyle w:val="TextBody"/>
        <w:bidi w:val="0"/>
        <w:spacing w:lineRule="auto" w:line="26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68" w:before="120" w:after="240"/>
        <w:ind w:left="0" w:right="0" w:firstLine="450"/>
        <w:jc w:val="left"/>
        <w:rPr/>
      </w:pPr>
      <w:r>
        <w:rPr>
          <w:rFonts w:ascii="Times New Roman;serif" w:hAnsi="Times New Roman;serif"/>
          <w:b w:val="false"/>
          <w:color w:val="000000"/>
          <w:sz w:val="20"/>
          <w:shd w:fill="FFFFFF" w:val="clear"/>
        </w:rPr>
        <w:t xml:space="preserve">Amortization of intangibles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decreased fr</w:t>
      </w:r>
      <w:r>
        <w:rPr>
          <w:rFonts w:ascii="Times New Roman;serif" w:hAnsi="Times New Roman;serif"/>
          <w:b w:val="false"/>
          <w:color w:val="000000"/>
          <w:sz w:val="20"/>
        </w:rPr>
        <w:t xml:space="preserve">om 2023 due primarily to a decrease of $143.3 million at People Inc. due primarily to the inclusion in 2023 of </w:t>
      </w:r>
      <w:r>
        <w:rPr>
          <w:rFonts w:ascii="Times New Roman;serif" w:hAnsi="Times New Roman;serif"/>
          <w:b w:val="false"/>
          <w:color w:val="000000"/>
          <w:sz w:val="20"/>
          <w:shd w:fill="FFFFFF" w:val="clear"/>
        </w:rPr>
        <w:t>ind</w:t>
      </w:r>
      <w:r>
        <w:rPr>
          <w:rFonts w:ascii="Times New Roman;serif" w:hAnsi="Times New Roman;serif"/>
          <w:b w:val="false"/>
          <w:color w:val="000000"/>
          <w:sz w:val="20"/>
        </w:rPr>
        <w:t>efinite-lived intangible asset impairments totaling $87.5 million at the People Inc. Digital segment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certain intangible assets becoming fully amortized, partially offset by an increase of $8.3 million in expense as a result of a change in classification of certain People Inc. Digital trade name indefinite-lived intangible assets to definite-lived intangible assets, effective January 1, 2024.</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52"/>
        <w:gridCol w:w="571"/>
        <w:gridCol w:w="574"/>
        <w:gridCol w:w="211"/>
        <w:gridCol w:w="406"/>
        <w:gridCol w:w="271"/>
        <w:gridCol w:w="109"/>
        <w:gridCol w:w="109"/>
        <w:gridCol w:w="109"/>
        <w:gridCol w:w="211"/>
        <w:gridCol w:w="406"/>
        <w:gridCol w:w="271"/>
        <w:gridCol w:w="109"/>
        <w:gridCol w:w="109"/>
        <w:gridCol w:w="109"/>
        <w:gridCol w:w="211"/>
        <w:gridCol w:w="616"/>
        <w:gridCol w:w="271"/>
        <w:gridCol w:w="109"/>
        <w:gridCol w:w="109"/>
        <w:gridCol w:w="109"/>
        <w:gridCol w:w="231"/>
        <w:gridCol w:w="445"/>
        <w:gridCol w:w="120"/>
        <w:gridCol w:w="109"/>
        <w:gridCol w:w="109"/>
        <w:gridCol w:w="109"/>
        <w:gridCol w:w="290"/>
        <w:gridCol w:w="290"/>
        <w:gridCol w:w="291"/>
        <w:gridCol w:w="109"/>
        <w:gridCol w:w="109"/>
        <w:gridCol w:w="109"/>
        <w:gridCol w:w="211"/>
        <w:gridCol w:w="667"/>
        <w:gridCol w:w="109"/>
        <w:gridCol w:w="109"/>
        <w:gridCol w:w="109"/>
        <w:gridCol w:w="109"/>
        <w:gridCol w:w="268"/>
        <w:gridCol w:w="268"/>
        <w:gridCol w:w="382"/>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8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For the years ended December 31, 2025, 2024 and 2023.</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goodwill impairments recorded in 2025 and 2024.</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goodwill impairment in 2023 of $9.0 million at Mosaic Group as a result of the projected reduction in future revenue and profits from the business and lower trading multiples of a selected peer group of companies. </w:t>
      </w:r>
    </w:p>
    <w:p>
      <w:pPr>
        <w:pStyle w:val="TextBody"/>
        <w:bidi w:val="0"/>
        <w:spacing w:lineRule="auto" w:line="268" w:before="120" w:after="240"/>
        <w:ind w:left="0" w:right="0" w:firstLine="450"/>
        <w:jc w:val="left"/>
        <w:rPr/>
      </w:pPr>
      <w:r>
        <w:rPr>
          <w:rFonts w:ascii="Times New Roman;serif" w:hAnsi="Times New Roman;serif"/>
          <w:b w:val="false"/>
          <w:color w:val="000000"/>
          <w:sz w:val="20"/>
        </w:rPr>
        <w:t>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 xml:space="preserve">for further discussion of the Company’s assessment of impairment of goodwill. </w:t>
      </w:r>
    </w:p>
    <w:p>
      <w:pPr>
        <w:pStyle w:val="TextBody"/>
        <w:bidi w:val="0"/>
        <w:spacing w:lineRule="auto" w:line="26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carrying value of goodwill for which the most recent estimate of the excess of fair value over carrying value is less than 20% is $283.4 million, which is attributable to the Care.com reporting unit (reflected in discontinued operations). </w:t>
      </w:r>
    </w:p>
    <w:p>
      <w:pPr>
        <w:pStyle w:val="TextBody"/>
        <w:bidi w:val="0"/>
        <w:spacing w:lineRule="auto" w:line="268" w:before="120" w:after="240"/>
        <w:jc w:val="left"/>
        <w:rPr>
          <w:rFonts w:ascii="Times New Roman;serif" w:hAnsi="Times New Roman;serif"/>
          <w:b/>
          <w:i/>
          <w:color w:val="000000"/>
          <w:sz w:val="20"/>
        </w:rPr>
      </w:pPr>
      <w:r>
        <w:rPr>
          <w:rFonts w:ascii="Times New Roman;serif" w:hAnsi="Times New Roman;serif"/>
          <w:b/>
          <w:i/>
          <w:color w:val="000000"/>
          <w:sz w:val="20"/>
        </w:rPr>
        <w:t>Operating income (loss)</w:t>
      </w:r>
    </w:p>
    <w:tbl>
      <w:tblPr>
        <w:tblW w:w="10986" w:type="dxa"/>
        <w:jc w:val="left"/>
        <w:tblInd w:w="0" w:type="dxa"/>
        <w:tblLayout w:type="fixed"/>
        <w:tblCellMar>
          <w:top w:w="28" w:type="dxa"/>
          <w:left w:w="28" w:type="dxa"/>
          <w:bottom w:w="28" w:type="dxa"/>
          <w:right w:w="28" w:type="dxa"/>
        </w:tblCellMar>
      </w:tblPr>
      <w:tblGrid>
        <w:gridCol w:w="575"/>
        <w:gridCol w:w="215"/>
        <w:gridCol w:w="216"/>
        <w:gridCol w:w="211"/>
        <w:gridCol w:w="826"/>
        <w:gridCol w:w="271"/>
        <w:gridCol w:w="109"/>
        <w:gridCol w:w="109"/>
        <w:gridCol w:w="109"/>
        <w:gridCol w:w="211"/>
        <w:gridCol w:w="826"/>
        <w:gridCol w:w="271"/>
        <w:gridCol w:w="109"/>
        <w:gridCol w:w="109"/>
        <w:gridCol w:w="109"/>
        <w:gridCol w:w="211"/>
        <w:gridCol w:w="841"/>
        <w:gridCol w:w="271"/>
        <w:gridCol w:w="109"/>
        <w:gridCol w:w="109"/>
        <w:gridCol w:w="109"/>
        <w:gridCol w:w="211"/>
        <w:gridCol w:w="826"/>
        <w:gridCol w:w="109"/>
        <w:gridCol w:w="109"/>
        <w:gridCol w:w="109"/>
        <w:gridCol w:w="109"/>
        <w:gridCol w:w="290"/>
        <w:gridCol w:w="290"/>
        <w:gridCol w:w="291"/>
        <w:gridCol w:w="109"/>
        <w:gridCol w:w="109"/>
        <w:gridCol w:w="109"/>
        <w:gridCol w:w="211"/>
        <w:gridCol w:w="826"/>
        <w:gridCol w:w="109"/>
        <w:gridCol w:w="109"/>
        <w:gridCol w:w="109"/>
        <w:gridCol w:w="109"/>
        <w:gridCol w:w="268"/>
        <w:gridCol w:w="268"/>
        <w:gridCol w:w="380"/>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 2025 of $63.9 million compares to a loss of $75.1 million in 2024, representing an increase of $139.0 million due primarily to decreases of $47.2 million in amortization of intangibles and $45.3 million in stock-based compensation expense, an increase of $43.8 million in Adjusted EBITDA, described below, and the inclusion in 2025 of $45.0 million in net gains from lease impairments, terminations and amendments and certain asset sales, partially offset by increases of $31.0 million in litigation costs, $6.0 million in restructuring costs, including certain severance and employee separation benefits, $2.8 million in transaction-related costs and $0.2 million in depreciation. The decreases in the amortization of intangibles and depreciation are described above. Refer to the “General and administrative expense” discussion above for additional details on the net gains from lease impairments, terminations and amendments and certain asset sales, the decrease in stock-based compensation expense, and the increases in litigation costs, transaction-related costs and restructuring costs, including certain severance and employee separation benefits. </w:t>
      </w:r>
    </w:p>
    <w:p>
      <w:pPr>
        <w:pStyle w:val="TextBody"/>
        <w:bidi w:val="0"/>
        <w:spacing w:lineRule="auto" w:line="288" w:before="0" w:after="240"/>
        <w:ind w:left="0" w:right="0" w:firstLine="450"/>
        <w:jc w:val="left"/>
        <w:rPr/>
      </w:pPr>
      <w:r>
        <w:rPr>
          <w:rFonts w:ascii="Times New Roman;serif" w:hAnsi="Times New Roman;serif"/>
          <w:b w:val="false"/>
          <w:color w:val="000000"/>
          <w:sz w:val="20"/>
        </w:rPr>
        <w:t>At December 31, 2025, there was $67.2 million of unrecognized compensation cost, net of estimated forfeitures, related to all equity-based awards, which is expected to be recognized over a weighted average period of approximately 1.8</w:t>
      </w:r>
      <w:r>
        <w:rPr>
          <w:color w:val="000000"/>
          <w:shd w:fill="FFFFFF" w:val="clear"/>
        </w:rPr>
        <w:t xml:space="preserve"> </w:t>
      </w:r>
      <w:r>
        <w:rPr>
          <w:rFonts w:ascii="Times New Roman;serif" w:hAnsi="Times New Roman;serif"/>
          <w:b w:val="false"/>
          <w:color w:val="000000"/>
          <w:sz w:val="20"/>
        </w:rPr>
        <w:t xml:space="preserve">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6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decreased $249.8 million, or 77%, due primarily to a decrease of $143.8 million in amortization of intangibles, the inclusion in 2023 of $46.3 million of net losses from lease impairments, terminations and amendments and certain asset sales, a decrease of $42.8 million in depreciation, an increase of $40.7 million in Adjusted EBITDA, described below, a decrease of $9.0 million in goodwill impairment and a decrease of $1.5 million in litigation costs, partially offset by increases of $28.3 million in restructuring costs, including certain severance and employee separation benefits, $4.1 million in transaction-related costs and $4.1 million in stock-based compensation expense. The decreases in amortization of intangibles, depreciation and goodwill impairment are described above. Refer to the “General and administrative expense” discussion above for additional details on the net losses from lease impairments, terminations and amendments and certain asset sales. Refer to the “Cost of revenue” and “Selling and marketing expense” discussions above for additional details on the increase in restructuring costs, including certain severance and employee separation benefits. The increase in stock-based compensation expense was due primarily to less expense being allocated to Angi related to Mr. Levin’s restricted stock award in 2024 compared to 2023. </w:t>
      </w:r>
    </w:p>
    <w:p>
      <w:pPr>
        <w:pStyle w:val="TextBody"/>
        <w:bidi w:val="0"/>
        <w:spacing w:lineRule="auto" w:line="288" w:before="120" w:after="240"/>
        <w:ind w:left="0" w:right="0" w:firstLine="450"/>
        <w:jc w:val="left"/>
        <w:rPr/>
      </w:pPr>
      <w:r>
        <w:rPr>
          <w:rFonts w:ascii="Times New Roman;serif" w:hAnsi="Times New Roman;serif"/>
          <w:b w:val="false"/>
          <w:color w:val="000000"/>
          <w:sz w:val="20"/>
        </w:rPr>
        <w:t>See “</w:t>
      </w:r>
      <w:hyperlink w:anchor="i6619b59be68b4f7a9428d08547de7a6a_88">
        <w:r>
          <w:rPr>
            <w:rStyle w:val="InternetLink"/>
            <w:rFonts w:ascii="Times New Roman;serif" w:hAnsi="Times New Roman;serif"/>
            <w:b w:val="false"/>
            <w:color w:val="0000FF"/>
            <w:sz w:val="20"/>
            <w:u w:val="single"/>
          </w:rPr>
          <w:t>Note 10—Stock-Based Compensation</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 xml:space="preserve">for further discussion of our former CEO’s restricted stock award, which was forfeited on January 13, 2025 pursuant to his Employment Transition Agreement.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w:t>
      </w:r>
    </w:p>
    <w:tbl>
      <w:tblPr>
        <w:tblW w:w="10761" w:type="dxa"/>
        <w:jc w:val="left"/>
        <w:tblInd w:w="0" w:type="dxa"/>
        <w:tblLayout w:type="fixed"/>
        <w:tblCellMar>
          <w:top w:w="28" w:type="dxa"/>
          <w:left w:w="28" w:type="dxa"/>
          <w:bottom w:w="28" w:type="dxa"/>
          <w:right w:w="28" w:type="dxa"/>
        </w:tblCellMar>
      </w:tblPr>
      <w:tblGrid>
        <w:gridCol w:w="575"/>
        <w:gridCol w:w="215"/>
        <w:gridCol w:w="21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90"/>
        <w:gridCol w:w="290"/>
        <w:gridCol w:w="291"/>
        <w:gridCol w:w="109"/>
        <w:gridCol w:w="109"/>
        <w:gridCol w:w="109"/>
        <w:gridCol w:w="211"/>
        <w:gridCol w:w="721"/>
        <w:gridCol w:w="109"/>
        <w:gridCol w:w="109"/>
        <w:gridCol w:w="109"/>
        <w:gridCol w:w="109"/>
        <w:gridCol w:w="268"/>
        <w:gridCol w:w="268"/>
        <w:gridCol w:w="380"/>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Digital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People Inc.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ind w:left="0" w:right="0" w:firstLine="450"/>
        <w:jc w:val="left"/>
        <w:rPr/>
      </w:pPr>
      <w:r>
        <w:rPr>
          <w:rFonts w:ascii="Times New Roman;serif" w:hAnsi="Times New Roman;serif"/>
          <w:b w:val="false"/>
          <w:color w:val="000000"/>
          <w:sz w:val="20"/>
        </w:rPr>
        <w:t>See “</w:t>
      </w:r>
      <w:hyperlink w:anchor="i6619b59be68b4f7a9428d08547de7a6a_10">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 xml:space="preserve">for the definition of Adjusted EBITDA and required non-GAAP reconciliations. </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People Inc. Adjusted EBITDA increased 8% to $329.8 million due to increases of $16.4 million from Digital and $2.7 million from Print and a decrease in Adjusted EBITDA loss of $4.7 million from Other (unallocated corporate expenses).</w:t>
      </w:r>
    </w:p>
    <w:p>
      <w:pPr>
        <w:pStyle w:val="TextBody"/>
        <w:bidi w:val="0"/>
        <w:spacing w:lineRule="auto" w:line="268" w:before="0" w:after="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Digital Adjusted EBITDA increase was due primarily to the increase in revenue, partially offset by increases in compensation expense, online marketing spend, and increased investments in </w:t>
      </w:r>
      <w:r>
        <w:rPr>
          <w:rFonts w:ascii="Times New Roman;serif" w:hAnsi="Times New Roman;serif"/>
          <w:b w:val="false"/>
          <w:color w:val="000000"/>
          <w:sz w:val="20"/>
        </w:rPr>
        <w:t xml:space="preserve">D/Cipher+ and </w:t>
      </w:r>
      <w:r>
        <w:rPr>
          <w:rFonts w:ascii="Times New Roman;serif" w:hAnsi="Times New Roman;serif"/>
          <w:b w:val="false"/>
          <w:color w:val="000000"/>
          <w:sz w:val="20"/>
          <w:shd w:fill="FFFFFF" w:val="clear"/>
        </w:rPr>
        <w:t>the PEOPLE app</w:t>
      </w:r>
      <w:r>
        <w:rPr>
          <w:rFonts w:ascii="Times New Roman;serif" w:hAnsi="Times New Roman;serif"/>
          <w:b w:val="false"/>
          <w:color w:val="000000"/>
          <w:sz w:val="20"/>
        </w:rPr>
        <w:t xml:space="preserve">. </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shd w:fill="FFFFFF" w:val="clear"/>
        </w:rPr>
        <w:t>◦</w:t>
      </w:r>
      <w:r>
        <w:rPr>
          <w:rFonts w:ascii="Times New Roman;serif" w:hAnsi="Times New Roman;serif"/>
          <w:b w:val="false"/>
          <w:color w:val="000000"/>
          <w:sz w:val="20"/>
        </w:rPr>
        <w:t>The Print Adjusted EBITDA increase was due primarily to lower operating expenses from continued cost rationalization efforts, partially offset by lower revenue.</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 xml:space="preserve">The Other (unallocated corporate expenses) decrease in Adjusted EBITDA loss was due primarily to lower operating expenses. </w:t>
      </w:r>
    </w:p>
    <w:p>
      <w:pPr>
        <w:pStyle w:val="TextBody"/>
        <w:bidi w:val="0"/>
        <w:spacing w:before="0" w:after="0"/>
        <w:ind w:left="0" w:right="0" w:firstLine="90"/>
        <w:jc w:val="left"/>
        <w:rPr/>
      </w:pPr>
      <w:r>
        <w:rPr/>
      </w:r>
    </w:p>
    <w:p>
      <w:pPr>
        <w:pStyle w:val="TextBody"/>
        <w:bidi w:val="0"/>
        <w:spacing w:lineRule="auto" w:line="268" w:before="0" w:after="240"/>
        <w:ind w:left="0" w:right="0" w:hanging="270"/>
        <w:jc w:val="left"/>
        <w:rPr/>
      </w:pPr>
      <w:r>
        <w:rPr>
          <w:color w:val="000000"/>
          <w:shd w:fill="FFFFFF" w:val="clear"/>
        </w:rPr>
        <w:t>•</w:t>
      </w:r>
      <w:r>
        <w:rPr>
          <w:rFonts w:ascii="Times New Roman;serif" w:hAnsi="Times New Roman;serif"/>
          <w:b w:val="false"/>
          <w:color w:val="000000"/>
          <w:sz w:val="20"/>
        </w:rPr>
        <w:t>Emerging &amp; Other Adjusted EBITDA increased $11.2 million to $5.7 million due primarily to profits in the current year at both The Daily Beast and Vivian Health compared to losses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Corporate Adjusted EBITDA loss decreased 9% to $85.4 million </w:t>
      </w:r>
      <w:r>
        <w:rPr>
          <w:rFonts w:ascii="Times New Roman;serif" w:hAnsi="Times New Roman;serif"/>
          <w:b w:val="false"/>
          <w:color w:val="000000"/>
          <w:sz w:val="20"/>
          <w:shd w:fill="FFFFFF" w:val="clear"/>
        </w:rPr>
        <w:t>due primarily to lower operating expenses</w:t>
      </w:r>
      <w:r>
        <w:rPr>
          <w:rFonts w:ascii="Times New Roman;serif" w:hAnsi="Times New Roman;serif"/>
          <w:b w:val="false"/>
          <w:color w:val="000000"/>
          <w:sz w:val="20"/>
        </w:rPr>
        <w:t>.</w:t>
      </w:r>
    </w:p>
    <w:p>
      <w:pPr>
        <w:pStyle w:val="TextBody"/>
        <w:bidi w:val="0"/>
        <w:spacing w:lineRule="auto" w:line="26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68" w:before="120" w:after="240"/>
        <w:ind w:left="0" w:right="0" w:hanging="270"/>
        <w:jc w:val="left"/>
        <w:rPr/>
      </w:pPr>
      <w:r>
        <w:rPr>
          <w:color w:val="000000"/>
          <w:shd w:fill="FFFFFF" w:val="clear"/>
        </w:rPr>
        <w:t>•</w:t>
      </w:r>
      <w:r>
        <w:rPr>
          <w:rFonts w:ascii="Times New Roman;serif" w:hAnsi="Times New Roman;serif"/>
          <w:b w:val="false"/>
          <w:color w:val="000000"/>
          <w:sz w:val="20"/>
        </w:rPr>
        <w:t>People Inc. Adjusted EBITDA increased 15% to $305.9 million due to an increase of $59.9 million from Digital, partially offset by a decrease of $13.2 million from Print and an increase in Adjusted EBITDA loss of $7.7 million from Other (unallocated corporate costs).</w:t>
      </w:r>
    </w:p>
    <w:p>
      <w:pPr>
        <w:pStyle w:val="TextBody"/>
        <w:bidi w:val="0"/>
        <w:spacing w:lineRule="auto" w:line="268" w:before="0" w:after="0"/>
        <w:ind w:left="0" w:right="0" w:hanging="270"/>
        <w:jc w:val="left"/>
        <w:rPr/>
      </w:pPr>
      <w:r>
        <w:rPr>
          <w:color w:val="000000"/>
          <w:shd w:fill="FFFFFF" w:val="clear"/>
        </w:rPr>
        <w:t>◦</w:t>
      </w:r>
      <w:r>
        <w:rPr>
          <w:rFonts w:ascii="Times New Roman;serif" w:hAnsi="Times New Roman;serif"/>
          <w:b w:val="false"/>
          <w:color w:val="000000"/>
          <w:sz w:val="20"/>
          <w:shd w:fill="FFFFFF" w:val="clear"/>
        </w:rPr>
        <w:t>The Digital Adjusted EBITDA increase was due primarily to higher reven</w:t>
      </w:r>
      <w:r>
        <w:rPr>
          <w:rFonts w:ascii="Times New Roman;serif" w:hAnsi="Times New Roman;serif"/>
          <w:b w:val="false"/>
          <w:color w:val="000000"/>
          <w:sz w:val="20"/>
        </w:rPr>
        <w:t>ue, partially offset by higher compensation expense and online marketing spend.</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Print Adjusted EBITDA decrease was due primarily to revenue declines and an increase in subscription acquisition costs.</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Other (unallocated corporate costs) Adjusted EBITDA loss increase was due primarily to a decrease in expense in 2023 of $8.0 million due to the reversal of certain pre-acquisition indemnification liabilities related to the 2021 Meredith acquisition. </w:t>
      </w:r>
    </w:p>
    <w:p>
      <w:pPr>
        <w:pStyle w:val="TextBody"/>
        <w:bidi w:val="0"/>
        <w:spacing w:before="0" w:after="0"/>
        <w:ind w:left="0" w:right="0" w:firstLine="90"/>
        <w:jc w:val="left"/>
        <w:rPr/>
      </w:pPr>
      <w:r>
        <w:rPr/>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Emerging &amp; Other Adjusted EBITDA losses increased 47% to $5.5 million due primarily to lower profits from Mosaic Group, the assets of which were sold on February 15, 2024, partially off by reduced losses at Newco (the Company’s former incubator company), The Daily Beast and Vivian Health.</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Corporate Adjusted EBITDA loss decreased 4% to $94.1 million </w:t>
      </w:r>
      <w:r>
        <w:rPr>
          <w:rFonts w:ascii="Times New Roman;serif" w:hAnsi="Times New Roman;serif"/>
          <w:b w:val="false"/>
          <w:color w:val="000000"/>
          <w:sz w:val="20"/>
          <w:shd w:fill="FFFFFF" w:val="clear"/>
        </w:rPr>
        <w:t>due primarily to lower operating expenses</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284"/>
        <w:gridCol w:w="249"/>
        <w:gridCol w:w="251"/>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90"/>
        <w:gridCol w:w="290"/>
        <w:gridCol w:w="291"/>
        <w:gridCol w:w="109"/>
        <w:gridCol w:w="109"/>
        <w:gridCol w:w="109"/>
        <w:gridCol w:w="211"/>
        <w:gridCol w:w="841"/>
        <w:gridCol w:w="109"/>
        <w:gridCol w:w="109"/>
        <w:gridCol w:w="109"/>
        <w:gridCol w:w="109"/>
        <w:gridCol w:w="268"/>
        <w:gridCol w:w="268"/>
        <w:gridCol w:w="382"/>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2025 compared to the year ended December 31, 2024</w:t>
      </w:r>
    </w:p>
    <w:p>
      <w:pPr>
        <w:pStyle w:val="TextBody"/>
        <w:bidi w:val="0"/>
        <w:spacing w:lineRule="auto" w:line="288" w:before="12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Interest expense in 2025 decreased from 2024 due primarily to decreases in interest rates and the amount of debt outstanding under the Term Loans, partially offset by an extinguishment loss of $8.5 million in connection with the refinancing of the People Inc. debt in the second quarter of 2025 and interest expense on the 2032 Notes. The extinguishment loss is due to the write-off of a pro-rata amount of unamortized capitalized costs and original issue discount related to People Inc.’s then outstanding debt and its then existing revolving credit facility.</w:t>
      </w:r>
    </w:p>
    <w:p>
      <w:pPr>
        <w:pStyle w:val="TextBody"/>
        <w:bidi w:val="0"/>
        <w:spacing w:lineRule="auto" w:line="268" w:before="120" w:after="12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year ended December 31, 2024 compared to the year ended December 31, 2023</w:t>
      </w:r>
    </w:p>
    <w:p>
      <w:pPr>
        <w:pStyle w:val="TextBody"/>
        <w:bidi w:val="0"/>
        <w:spacing w:lineRule="auto" w:line="268" w:before="12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Interest expense in 2024 decreased from 2023 due primarily to a decrease in the amount of debt outstanding under the Term Loans.</w:t>
      </w:r>
    </w:p>
    <w:p>
      <w:pPr>
        <w:pStyle w:val="TextBody"/>
        <w:bidi w:val="0"/>
        <w:spacing w:lineRule="auto" w:line="288" w:before="120" w:after="240"/>
        <w:ind w:left="0" w:right="0" w:firstLine="270"/>
        <w:jc w:val="left"/>
        <w:rPr/>
      </w:pPr>
      <w:r>
        <w:rPr>
          <w:rFonts w:ascii="Times New Roman;serif" w:hAnsi="Times New Roman;serif"/>
          <w:b w:val="false"/>
          <w:color w:val="000000"/>
          <w:sz w:val="20"/>
        </w:rPr>
        <w:t>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Unrealized gain (loss) on investment in MGM </w:t>
      </w:r>
    </w:p>
    <w:tbl>
      <w:tblPr>
        <w:tblW w:w="10680" w:type="dxa"/>
        <w:jc w:val="left"/>
        <w:tblInd w:w="0" w:type="dxa"/>
        <w:tblLayout w:type="fixed"/>
        <w:tblCellMar>
          <w:top w:w="28" w:type="dxa"/>
          <w:left w:w="28" w:type="dxa"/>
          <w:bottom w:w="28" w:type="dxa"/>
          <w:right w:w="28" w:type="dxa"/>
        </w:tblCellMar>
      </w:tblPr>
      <w:tblGrid>
        <w:gridCol w:w="370"/>
        <w:gridCol w:w="325"/>
        <w:gridCol w:w="326"/>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90"/>
        <w:gridCol w:w="290"/>
        <w:gridCol w:w="291"/>
        <w:gridCol w:w="109"/>
        <w:gridCol w:w="109"/>
        <w:gridCol w:w="109"/>
        <w:gridCol w:w="211"/>
        <w:gridCol w:w="991"/>
        <w:gridCol w:w="109"/>
        <w:gridCol w:w="109"/>
        <w:gridCol w:w="109"/>
        <w:gridCol w:w="109"/>
        <w:gridCol w:w="268"/>
        <w:gridCol w:w="268"/>
        <w:gridCol w:w="38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owned 65.8 million common shares of MGM, including 1.1 million common shares purchased in the fourth quarter of 2025 for $40.0 million, which represents approximately 25.5% of MGM’s common shares outstanding.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40"/>
        <w:ind w:left="0" w:right="0" w:firstLine="27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2345"/>
        <w:gridCol w:w="1836"/>
        <w:gridCol w:w="1844"/>
        <w:gridCol w:w="211"/>
        <w:gridCol w:w="752"/>
        <w:gridCol w:w="271"/>
        <w:gridCol w:w="109"/>
        <w:gridCol w:w="109"/>
        <w:gridCol w:w="109"/>
        <w:gridCol w:w="211"/>
        <w:gridCol w:w="721"/>
        <w:gridCol w:w="271"/>
        <w:gridCol w:w="109"/>
        <w:gridCol w:w="109"/>
        <w:gridCol w:w="109"/>
        <w:gridCol w:w="211"/>
        <w:gridCol w:w="721"/>
        <w:gridCol w:w="157"/>
      </w:tblGrid>
      <w:tr>
        <w:trPr/>
        <w:tc>
          <w:tcPr>
            <w:tcW w:w="2345"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2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related to the allocation of a disputed gain on a real estate transaction</w:t>
            </w:r>
            <w:r>
              <w:rPr>
                <w:rFonts w:ascii="Times New Roman;serif" w:hAnsi="Times New Roman;serif"/>
                <w:b w:val="false"/>
                <w:color w:val="000000"/>
                <w:sz w:val="13"/>
              </w:rPr>
              <w:t>(b)</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(downward) upward adjustments to the carrying value of equity securities without readily determinable fair values and net gains (losses) on sales of investments and businesses (including unrealized losses on investments)</w:t>
            </w:r>
            <w:r>
              <w:rPr>
                <w:rFonts w:ascii="Times New Roman;serif" w:hAnsi="Times New Roman;serif"/>
                <w:b w:val="false"/>
                <w:color w:val="000000"/>
                <w:sz w:val="13"/>
              </w:rPr>
              <w:t>(c)(d)</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 Credit Agreement amendment costs</w:t>
            </w:r>
            <w:r>
              <w:rPr>
                <w:rFonts w:ascii="Times New Roman;serif" w:hAnsi="Times New Roman;serif"/>
                <w:b w:val="false"/>
                <w:color w:val="000000"/>
                <w:sz w:val="13"/>
              </w:rPr>
              <w:t>(e)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the estimated fair value of a warrant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120" w:after="12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Interest income decreased in 2025 from 2024 due primarily to a decline in the Company’s cash and cash equivalents balance. Interest income increased in 2024 from 2023 due primarily to an increase in the Company’s cash and cash equivalents balance. </w:t>
      </w:r>
    </w:p>
    <w:p>
      <w:pPr>
        <w:pStyle w:val="TextBody"/>
        <w:bidi w:val="0"/>
        <w:spacing w:lineRule="auto" w:line="268" w:before="120" w:after="12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See “</w:t>
      </w:r>
      <w:hyperlink w:anchor="i6619b59be68b4f7a9428d08547de7a6a_103">
        <w:r>
          <w:rPr>
            <w:rStyle w:val="InternetLink"/>
            <w:rFonts w:ascii="Times New Roman;serif" w:hAnsi="Times New Roman;serif"/>
            <w:b w:val="false"/>
            <w:color w:val="0000FF"/>
            <w:sz w:val="16"/>
            <w:u w:val="single"/>
          </w:rPr>
          <w:t>Note 15—Contingencies</w:t>
        </w:r>
      </w:hyperlink>
      <w:r>
        <w:rPr>
          <w:color w:val="000000"/>
        </w:rPr>
        <w:t xml:space="preserve">” </w:t>
      </w:r>
      <w:r>
        <w:rPr>
          <w:rFonts w:ascii="Times New Roman;serif" w:hAnsi="Times New Roman;serif"/>
          <w:b w:val="false"/>
          <w:color w:val="000000"/>
          <w:sz w:val="16"/>
        </w:rPr>
        <w:t>in the accompanying notes to the financial statements included in “</w:t>
      </w:r>
      <w:hyperlink w:anchor="i6619b59be68b4f7a9428d08547de7a6a_25">
        <w:r>
          <w:rPr>
            <w:rStyle w:val="InternetLink"/>
            <w:rFonts w:ascii="Times New Roman;serif" w:hAnsi="Times New Roman;serif"/>
            <w:b w:val="false"/>
            <w:color w:val="0000FF"/>
            <w:sz w:val="16"/>
            <w:u w:val="single"/>
          </w:rPr>
          <w:t>Item 8. Financial Statements and Supplementary Data</w:t>
        </w:r>
      </w:hyperlink>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68" w:before="120" w:after="120"/>
        <w:ind w:left="0" w:right="0" w:hanging="360"/>
        <w:jc w:val="left"/>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downward and upward adjustments to the carrying value of equity securities without readily determinable fair values. For the years ended December 31, 2025, 2024 and 2023, the Company recorded net downward adjustments of $29.2 million, $32.3 million and $20.2 million, respectively.</w:t>
      </w:r>
    </w:p>
    <w:p>
      <w:pPr>
        <w:pStyle w:val="TextBody"/>
        <w:bidi w:val="0"/>
        <w:spacing w:lineRule="auto" w:line="268" w:before="120" w:after="120"/>
        <w:ind w:left="0" w:right="0" w:hanging="36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The year ended December 31, 2024, includes a pre-tax gain of $29.2 million on the sale of assets of Mosaic Group, which was included within Emerging &amp; Other, and was accounted for as a sale of a business.</w:t>
      </w:r>
    </w:p>
    <w:p>
      <w:pPr>
        <w:pStyle w:val="TextBody"/>
        <w:bidi w:val="0"/>
        <w:spacing w:lineRule="auto" w:line="288" w:before="0" w:after="0"/>
        <w:ind w:left="0" w:right="0" w:hanging="360"/>
        <w:jc w:val="left"/>
        <w:rPr/>
      </w:pPr>
      <w:r>
        <w:rPr>
          <w:rFonts w:ascii="Times New Roman;serif" w:hAnsi="Times New Roman;serif"/>
          <w:b w:val="false"/>
          <w:color w:val="000000"/>
          <w:sz w:val="10"/>
        </w:rPr>
        <w:t>(e)     </w:t>
      </w:r>
      <w:r>
        <w:rPr>
          <w:rFonts w:ascii="Times New Roman;serif" w:hAnsi="Times New Roman;serif"/>
          <w:b w:val="false"/>
          <w:color w:val="000000"/>
          <w:sz w:val="16"/>
        </w:rPr>
        <w:t>The year ended December 31, 2025 amount represents third-party fees incurred in connection with Amendment No.2, the Indenture and Amendment No. 3, and the year ended December 31, 2024 amount represents third-party fees incurred in connection with Amendment No.1. See “</w:t>
      </w:r>
      <w:hyperlink w:anchor="i6619b59be68b4f7a9428d08547de7a6a_70">
        <w:r>
          <w:rPr>
            <w:rStyle w:val="InternetLink"/>
            <w:rFonts w:ascii="Times New Roman;serif" w:hAnsi="Times New Roman;serif"/>
            <w:b w:val="false"/>
            <w:color w:val="0000FF"/>
            <w:sz w:val="16"/>
            <w:u w:val="single"/>
          </w:rPr>
          <w:t>Note 6—Long-term debt</w:t>
        </w:r>
      </w:hyperlink>
      <w:r>
        <w:rPr>
          <w:color w:val="000000"/>
        </w:rPr>
        <w:t xml:space="preserve">” </w:t>
      </w:r>
      <w:r>
        <w:rPr>
          <w:rFonts w:ascii="Times New Roman;serif" w:hAnsi="Times New Roman;serif"/>
          <w:b w:val="false"/>
          <w:color w:val="000000"/>
          <w:sz w:val="16"/>
        </w:rPr>
        <w:t>in the accompanying notes to the financial statements included in “</w:t>
      </w:r>
      <w:hyperlink w:anchor="i6619b59be68b4f7a9428d08547de7a6a_25">
        <w:r>
          <w:rPr>
            <w:rStyle w:val="InternetLink"/>
            <w:rFonts w:ascii="Times New Roman;serif" w:hAnsi="Times New Roman;serif"/>
            <w:b w:val="false"/>
            <w:color w:val="0000FF"/>
            <w:sz w:val="16"/>
            <w:u w:val="single"/>
          </w:rPr>
          <w:t>Item 8. Financial Statements and Supplementary Data</w:t>
        </w:r>
      </w:hyperlink>
      <w:r>
        <w:rPr>
          <w:color w:val="000000"/>
        </w:rPr>
        <w:t xml:space="preserve">” </w:t>
      </w:r>
      <w:r>
        <w:rPr>
          <w:rFonts w:ascii="Times New Roman;serif" w:hAnsi="Times New Roman;serif"/>
          <w:b w:val="false"/>
          <w:color w:val="000000"/>
          <w:sz w:val="16"/>
        </w:rPr>
        <w:t>for additional information.</w:t>
      </w:r>
    </w:p>
    <w:p>
      <w:pPr>
        <w:pStyle w:val="TextBody"/>
        <w:bidi w:val="0"/>
        <w:spacing w:before="120" w:after="12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(provision) benefit</w:t>
      </w:r>
    </w:p>
    <w:tbl>
      <w:tblPr>
        <w:tblW w:w="10821" w:type="dxa"/>
        <w:jc w:val="left"/>
        <w:tblInd w:w="0" w:type="dxa"/>
        <w:tblLayout w:type="fixed"/>
        <w:tblCellMar>
          <w:top w:w="28" w:type="dxa"/>
          <w:left w:w="28" w:type="dxa"/>
          <w:bottom w:w="28" w:type="dxa"/>
          <w:right w:w="28" w:type="dxa"/>
        </w:tblCellMar>
      </w:tblPr>
      <w:tblGrid>
        <w:gridCol w:w="370"/>
        <w:gridCol w:w="325"/>
        <w:gridCol w:w="326"/>
        <w:gridCol w:w="211"/>
        <w:gridCol w:w="736"/>
        <w:gridCol w:w="271"/>
        <w:gridCol w:w="109"/>
        <w:gridCol w:w="109"/>
        <w:gridCol w:w="109"/>
        <w:gridCol w:w="211"/>
        <w:gridCol w:w="826"/>
        <w:gridCol w:w="271"/>
        <w:gridCol w:w="109"/>
        <w:gridCol w:w="109"/>
        <w:gridCol w:w="109"/>
        <w:gridCol w:w="211"/>
        <w:gridCol w:w="736"/>
        <w:gridCol w:w="271"/>
        <w:gridCol w:w="109"/>
        <w:gridCol w:w="109"/>
        <w:gridCol w:w="109"/>
        <w:gridCol w:w="211"/>
        <w:gridCol w:w="841"/>
        <w:gridCol w:w="109"/>
        <w:gridCol w:w="109"/>
        <w:gridCol w:w="109"/>
        <w:gridCol w:w="109"/>
        <w:gridCol w:w="290"/>
        <w:gridCol w:w="290"/>
        <w:gridCol w:w="291"/>
        <w:gridCol w:w="109"/>
        <w:gridCol w:w="109"/>
        <w:gridCol w:w="109"/>
        <w:gridCol w:w="211"/>
        <w:gridCol w:w="826"/>
        <w:gridCol w:w="109"/>
        <w:gridCol w:w="109"/>
        <w:gridCol w:w="109"/>
        <w:gridCol w:w="109"/>
        <w:gridCol w:w="268"/>
        <w:gridCol w:w="268"/>
        <w:gridCol w:w="38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effective income tax rate is higher than the statutory rate of 21% due primarily to a deferred tax adjustment and state taxes, partially offset by excess tax benefits of stock-based compensation expense, research credits and the realization of a capital loss.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2024, the effective income tax rate is lower than the statutory rate of 21% due primarily to the non-deductible portion of goodwill in the sale of Mosaic Group and non-deductible compensation expense, partially offset by state taxes.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2023, the effective income tax rate is higher than the statutory rate of 21% due primarily to non-deductible compensation expense and state taxes, partially offset by research credits.</w:t>
      </w:r>
    </w:p>
    <w:p>
      <w:pPr>
        <w:pStyle w:val="TextBody"/>
        <w:bidi w:val="0"/>
        <w:spacing w:lineRule="auto" w:line="288" w:before="240" w:after="240"/>
        <w:ind w:left="0" w:right="0" w:firstLine="450"/>
        <w:jc w:val="left"/>
        <w:rPr/>
      </w:pPr>
      <w:r>
        <w:rPr>
          <w:rFonts w:ascii="Times New Roman;serif" w:hAnsi="Times New Roman;serif"/>
          <w:b w:val="false"/>
          <w:color w:val="000000"/>
          <w:sz w:val="20"/>
        </w:rPr>
        <w:t>For further details of income tax matters, see “</w:t>
      </w:r>
      <w:hyperlink w:anchor="i6619b59be68b4f7a9428d08547de7a6a_94">
        <w:r>
          <w:rPr>
            <w:rStyle w:val="InternetLink"/>
            <w:rFonts w:ascii="Times New Roman;serif" w:hAnsi="Times New Roman;serif"/>
            <w:b w:val="false"/>
            <w:color w:val="0000FF"/>
            <w:sz w:val="20"/>
            <w:u w:val="single"/>
          </w:rPr>
          <w:t>Note 12—Income Taxes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(earnings) loss attributable to noncontrolling interests</w:t>
      </w:r>
    </w:p>
    <w:tbl>
      <w:tblPr>
        <w:tblW w:w="10205" w:type="dxa"/>
        <w:jc w:val="left"/>
        <w:tblInd w:w="0" w:type="dxa"/>
        <w:tblLayout w:type="fixed"/>
        <w:tblCellMar>
          <w:top w:w="28" w:type="dxa"/>
          <w:left w:w="28" w:type="dxa"/>
          <w:bottom w:w="28" w:type="dxa"/>
          <w:right w:w="28" w:type="dxa"/>
        </w:tblCellMar>
      </w:tblPr>
      <w:tblGrid>
        <w:gridCol w:w="583"/>
        <w:gridCol w:w="513"/>
        <w:gridCol w:w="515"/>
        <w:gridCol w:w="211"/>
        <w:gridCol w:w="635"/>
        <w:gridCol w:w="109"/>
        <w:gridCol w:w="109"/>
        <w:gridCol w:w="109"/>
        <w:gridCol w:w="109"/>
        <w:gridCol w:w="211"/>
        <w:gridCol w:w="635"/>
        <w:gridCol w:w="109"/>
        <w:gridCol w:w="109"/>
        <w:gridCol w:w="109"/>
        <w:gridCol w:w="109"/>
        <w:gridCol w:w="211"/>
        <w:gridCol w:w="616"/>
        <w:gridCol w:w="109"/>
        <w:gridCol w:w="109"/>
        <w:gridCol w:w="109"/>
        <w:gridCol w:w="109"/>
        <w:gridCol w:w="211"/>
        <w:gridCol w:w="616"/>
        <w:gridCol w:w="109"/>
        <w:gridCol w:w="109"/>
        <w:gridCol w:w="109"/>
        <w:gridCol w:w="109"/>
        <w:gridCol w:w="290"/>
        <w:gridCol w:w="290"/>
        <w:gridCol w:w="291"/>
        <w:gridCol w:w="109"/>
        <w:gridCol w:w="109"/>
        <w:gridCol w:w="109"/>
        <w:gridCol w:w="211"/>
        <w:gridCol w:w="740"/>
        <w:gridCol w:w="109"/>
        <w:gridCol w:w="109"/>
        <w:gridCol w:w="109"/>
        <w:gridCol w:w="109"/>
        <w:gridCol w:w="268"/>
        <w:gridCol w:w="268"/>
        <w:gridCol w:w="383"/>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Change</w:t>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120" w:after="283"/>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noncontrolling interests primarily represents the publicly-held interest in Angi’s earnings and losses prior to the Distribution, which was completed on March 31, 2025.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PRINCIPLES OF FINANCIAL REPORTING</w:t>
      </w:r>
    </w:p>
    <w:p>
      <w:pPr>
        <w:pStyle w:val="TextBody"/>
        <w:bidi w:val="0"/>
        <w:spacing w:lineRule="auto" w:line="288" w:before="12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reports Adjusted EBITDA, which is a non-GAAP measure, as a supplemental measure to U.S. generally accepted accounting principles (“GAAP”). This measure is also our primary segment measure of profitability and among the metrics by which we evaluate the performance of our businesses, and our internal budgets are based and may also impact management compensation. We believe that investors and analysts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The Company endeavors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Definition of Non-GAAP Measure</w:t>
      </w:r>
    </w:p>
    <w:p>
      <w:pPr>
        <w:pStyle w:val="TextBody"/>
        <w:bidi w:val="0"/>
        <w:spacing w:lineRule="auto" w:line="276" w:before="0" w:after="0"/>
        <w:ind w:left="0" w:right="0" w:firstLine="450"/>
        <w:jc w:val="left"/>
        <w:rPr/>
      </w:pPr>
      <w:r>
        <w:rPr>
          <w:rFonts w:ascii="Times New Roman;serif" w:hAnsi="Times New Roman;serif"/>
          <w:b w:val="false"/>
          <w:i/>
          <w:color w:val="000000"/>
          <w:sz w:val="20"/>
        </w:rPr>
        <w:t>Adjusted EBITDA (Earnings Before Interest, Taxes, Depreciation and Amortization)</w:t>
      </w:r>
      <w:r>
        <w:rPr>
          <w:color w:val="000000"/>
        </w:rPr>
        <w:t xml:space="preserve"> </w:t>
      </w:r>
      <w:r>
        <w:rPr>
          <w:rFonts w:ascii="Times New Roman;serif" w:hAnsi="Times New Roman;serif"/>
          <w:b w:val="false"/>
          <w:color w:val="000000"/>
          <w:sz w:val="20"/>
        </w:rPr>
        <w:t xml:space="preserve">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above items are excluded from our Adjusted EBITDA measure because these items are noncash in nature, or because the amount and timing of these items is unpredictable, not driven by core operating results and render comparisons with prior periods and competitors less meaningful. Management uses Adjusted EBITDA to evaluate the Company’s performance and facilitate comparisons of the Company’s operating results between periods. We believe Adjusted EBITDA is a useful measure for analysts and investors to evaluate our future on-going performance as this measure allows a more meaningful comparison of our performance and projected cash earnings with our historical results from prior periods and to the results of our competitors. Moreover, our management uses this measure internally to evaluate the performance of our business as a whole and our individual business segments. Adjusted EBITDA has certain limitations because it excludes the impact of these items.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has been recast to reflect the revised definition for all periods presented.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Items Excluded from Our Non-GAAP Measure</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i/>
          <w:color w:val="000000"/>
          <w:sz w:val="20"/>
        </w:rPr>
        <w:t>expense</w:t>
      </w:r>
      <w:r>
        <w:rPr>
          <w:color w:val="000000"/>
        </w:rPr>
        <w:t xml:space="preserve"> </w:t>
      </w:r>
      <w:r>
        <w:rPr>
          <w:rFonts w:ascii="Times New Roman;serif" w:hAnsi="Times New Roman;serif"/>
          <w:b w:val="false"/>
          <w:color w:val="000000"/>
          <w:sz w:val="20"/>
        </w:rPr>
        <w:t>consists principally of expense associated with awards that were granted under various stock and annual incentive plans that are denominated in the Company’s common shares. This expense is not paid in cash and we view the economic costs of stock-based awards to be the dilution to our share base; the related shares are included in our fully diluted shares outstanding for GAAP earnings per share using the treasury stock method. The Company currently settles all stock-based awards on a net basis whereby the Company remits from its current funds the required tax-withholding on behalf of employees for net-settled awards.</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 xml:space="preserve">Depreciation </w:t>
      </w:r>
      <w:r>
        <w:rPr>
          <w:rFonts w:ascii="Times New Roman;serif" w:hAnsi="Times New Roman;serif"/>
          <w:b w:val="false"/>
          <w:color w:val="000000"/>
          <w:sz w:val="20"/>
        </w:rPr>
        <w:t>is a non-cash expense relating to our buildings, equipment, leasehold improvements and capitalized software and is computed using the straight-line method to allocate the cost of depreciable assets to operations over their estimated useful lives, or, in the case of leasehold improvements, the lease term, if shorter.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450"/>
        <w:jc w:val="left"/>
        <w:rPr/>
      </w:pPr>
      <w:r>
        <w:rPr>
          <w:rFonts w:ascii="Times New Roman;serif" w:hAnsi="Times New Roman;serif"/>
          <w:b w:val="false"/>
          <w:i/>
          <w:color w:val="000000"/>
          <w:sz w:val="20"/>
        </w:rPr>
        <w:t xml:space="preserve">Amortization of intangible assets and impairments of goodwill and intangible assets </w:t>
      </w:r>
      <w:r>
        <w:rPr>
          <w:rFonts w:ascii="Times New Roman;serif" w:hAnsi="Times New Roman;serif"/>
          <w:b w:val="false"/>
          <w:color w:val="000000"/>
          <w:sz w:val="20"/>
        </w:rPr>
        <w:t>are non-cash expenses related primarily to acquisitions. At the time of acquisition, the identifiable definite-lived intangible assets of the acquired company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Gains and losses recognized on changes in the fair value of contingent consideration arrangements</w:t>
      </w:r>
      <w:r>
        <w:rPr>
          <w:color w:val="000000"/>
        </w:rPr>
        <w:t xml:space="preserve"> </w:t>
      </w:r>
      <w:r>
        <w:rPr>
          <w:rFonts w:ascii="Times New Roman;serif" w:hAnsi="Times New Roman;serif"/>
          <w:b w:val="false"/>
          <w:color w:val="000000"/>
          <w:sz w:val="20"/>
        </w:rPr>
        <w:t xml:space="preserve">are accounting adjustments to report liabilities for 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 The last such arrangement expired during the year ended December 31, 2022. Therefore, there were no gains or losses on contingent consideration arrangements in the years ended December 31, 2025, 2024 and 2023. </w:t>
      </w:r>
    </w:p>
    <w:p>
      <w:pPr>
        <w:pStyle w:val="TextBody"/>
        <w:bidi w:val="0"/>
        <w:spacing w:lineRule="auto" w:line="268" w:before="0" w:after="0"/>
        <w:ind w:left="0" w:right="0" w:firstLine="450"/>
        <w:jc w:val="left"/>
        <w:rPr/>
      </w:pPr>
      <w:r>
        <w:rPr>
          <w:rFonts w:ascii="Times New Roman;serif" w:hAnsi="Times New Roman;serif"/>
          <w:b w:val="false"/>
          <w:i/>
          <w:color w:val="000000"/>
          <w:sz w:val="20"/>
        </w:rPr>
        <w:t xml:space="preserve">Restructuring costs, including certain severance and employee separation benefits </w:t>
      </w:r>
      <w:r>
        <w:rPr>
          <w:rFonts w:ascii="Times New Roman;serif" w:hAnsi="Times New Roman;serif"/>
          <w:b w:val="false"/>
          <w:color w:val="000000"/>
          <w:sz w:val="20"/>
        </w:rPr>
        <w:t>relate to certain discrete strategic actions taken by the Company to improve operating efficiencies and to better align its cost structure. Ordinary course severance and employee separation benefits are not considered restructuring costs.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Gains and losses from lease impairments, terminations and amendments and certain asset sales </w:t>
      </w:r>
      <w:r>
        <w:rPr>
          <w:rFonts w:ascii="Times New Roman;serif" w:hAnsi="Times New Roman;serif"/>
          <w:b w:val="false"/>
          <w:color w:val="000000"/>
          <w:sz w:val="20"/>
        </w:rPr>
        <w:t>relate to certain activity to surrender leased space prior to its original lease expiration and the sale of certain assets. These adjustments can be highly variable and are excluded from our assessment of performance because they are considered non-operational in nature and, therefore, are not indicative of current or future performance.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Transaction-related costs</w:t>
      </w:r>
      <w:r>
        <w:rPr>
          <w:color w:val="000000"/>
        </w:rPr>
        <w:t xml:space="preserve"> </w:t>
      </w:r>
      <w:r>
        <w:rPr>
          <w:rFonts w:ascii="Times New Roman;serif" w:hAnsi="Times New Roman;serif"/>
          <w:b w:val="false"/>
          <w:color w:val="000000"/>
          <w:sz w:val="20"/>
        </w:rPr>
        <w:t>reflect third-party costs incurred in connection with acquisitions, dispositions and spinoffs that are not part of the Company’s core operating activities.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Litigation matters</w:t>
      </w:r>
      <w:r>
        <w:rPr>
          <w:color w:val="000000"/>
        </w:rPr>
        <w:t xml:space="preserve"> </w:t>
      </w:r>
      <w:r>
        <w:rPr>
          <w:rFonts w:ascii="Times New Roman;serif" w:hAnsi="Times New Roman;serif"/>
          <w:b w:val="false"/>
          <w:color w:val="000000"/>
          <w:sz w:val="20"/>
        </w:rPr>
        <w:t>reflect settlements, judgments, insurance recoveries and related third-party legal costs arising from certain litigation matters, including gains and losses that management determines, based on their nature and circumstances, are outside of the ordinary course of business and not representative of the Company’s core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operating income (loss) to Adjusted EBITDA for the Company’s reportable segments and net (loss) earnings attributable to People Incorporated shareholders:</w:t>
      </w:r>
    </w:p>
    <w:tbl>
      <w:tblPr>
        <w:tblW w:w="15015" w:type="dxa"/>
        <w:jc w:val="left"/>
        <w:tblInd w:w="0" w:type="dxa"/>
        <w:tblLayout w:type="fixed"/>
        <w:tblCellMar>
          <w:top w:w="28" w:type="dxa"/>
          <w:left w:w="28" w:type="dxa"/>
          <w:bottom w:w="28" w:type="dxa"/>
          <w:right w:w="28" w:type="dxa"/>
        </w:tblCellMar>
      </w:tblPr>
      <w:tblGrid>
        <w:gridCol w:w="639"/>
        <w:gridCol w:w="355"/>
        <w:gridCol w:w="357"/>
        <w:gridCol w:w="211"/>
        <w:gridCol w:w="841"/>
        <w:gridCol w:w="109"/>
        <w:gridCol w:w="109"/>
        <w:gridCol w:w="109"/>
        <w:gridCol w:w="109"/>
        <w:gridCol w:w="231"/>
        <w:gridCol w:w="790"/>
        <w:gridCol w:w="120"/>
        <w:gridCol w:w="109"/>
        <w:gridCol w:w="109"/>
        <w:gridCol w:w="109"/>
        <w:gridCol w:w="211"/>
        <w:gridCol w:w="721"/>
        <w:gridCol w:w="109"/>
        <w:gridCol w:w="109"/>
        <w:gridCol w:w="109"/>
        <w:gridCol w:w="109"/>
        <w:gridCol w:w="222"/>
        <w:gridCol w:w="759"/>
        <w:gridCol w:w="115"/>
        <w:gridCol w:w="109"/>
        <w:gridCol w:w="109"/>
        <w:gridCol w:w="109"/>
        <w:gridCol w:w="109"/>
        <w:gridCol w:w="109"/>
        <w:gridCol w:w="109"/>
        <w:gridCol w:w="109"/>
        <w:gridCol w:w="225"/>
        <w:gridCol w:w="769"/>
        <w:gridCol w:w="117"/>
        <w:gridCol w:w="109"/>
        <w:gridCol w:w="109"/>
        <w:gridCol w:w="109"/>
        <w:gridCol w:w="211"/>
        <w:gridCol w:w="746"/>
        <w:gridCol w:w="109"/>
        <w:gridCol w:w="109"/>
        <w:gridCol w:w="109"/>
        <w:gridCol w:w="109"/>
        <w:gridCol w:w="348"/>
        <w:gridCol w:w="1017"/>
        <w:gridCol w:w="181"/>
        <w:gridCol w:w="109"/>
        <w:gridCol w:w="109"/>
        <w:gridCol w:w="109"/>
        <w:gridCol w:w="211"/>
        <w:gridCol w:w="721"/>
        <w:gridCol w:w="109"/>
        <w:gridCol w:w="109"/>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0"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104" w:type="dxa"/>
            <w:gridSpan w:val="1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Stock-Based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(Gains) and Losses from Lease Impairments, Terminations and Amendments and Certain Asset Sales</w:t>
            </w:r>
            <w:r>
              <w:rPr>
                <w:rFonts w:ascii="Times New Roman;serif" w:hAnsi="Times New Roman;serif"/>
                <w:b/>
                <w:color w:val="000000"/>
                <w:sz w:val="10"/>
              </w:rPr>
              <w:t>(c)</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Transaction-related Costs</w:t>
            </w:r>
            <w:r>
              <w:rPr>
                <w:rFonts w:ascii="Times New Roman;serif" w:hAnsi="Times New Roman;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Certain Litigation Matters</w:t>
            </w:r>
            <w:r>
              <w:rPr>
                <w:rFonts w:ascii="Times New Roman;serif" w:hAnsi="Times New Roman;serif"/>
                <w:b/>
                <w:color w:val="000000"/>
                <w:sz w:val="10"/>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0"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104" w:type="dxa"/>
            <w:gridSpan w:val="14"/>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People Incorporated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4960" w:type="dxa"/>
        <w:jc w:val="left"/>
        <w:tblInd w:w="0" w:type="dxa"/>
        <w:tblLayout w:type="fixed"/>
        <w:tblCellMar>
          <w:top w:w="28" w:type="dxa"/>
          <w:left w:w="28" w:type="dxa"/>
          <w:bottom w:w="28" w:type="dxa"/>
          <w:right w:w="28" w:type="dxa"/>
        </w:tblCellMar>
      </w:tblPr>
      <w:tblGrid>
        <w:gridCol w:w="639"/>
        <w:gridCol w:w="355"/>
        <w:gridCol w:w="357"/>
        <w:gridCol w:w="211"/>
        <w:gridCol w:w="841"/>
        <w:gridCol w:w="109"/>
        <w:gridCol w:w="109"/>
        <w:gridCol w:w="109"/>
        <w:gridCol w:w="109"/>
        <w:gridCol w:w="231"/>
        <w:gridCol w:w="790"/>
        <w:gridCol w:w="120"/>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109"/>
        <w:gridCol w:w="225"/>
        <w:gridCol w:w="769"/>
        <w:gridCol w:w="117"/>
        <w:gridCol w:w="109"/>
        <w:gridCol w:w="109"/>
        <w:gridCol w:w="109"/>
        <w:gridCol w:w="236"/>
        <w:gridCol w:w="707"/>
        <w:gridCol w:w="123"/>
        <w:gridCol w:w="109"/>
        <w:gridCol w:w="109"/>
        <w:gridCol w:w="109"/>
        <w:gridCol w:w="348"/>
        <w:gridCol w:w="1017"/>
        <w:gridCol w:w="181"/>
        <w:gridCol w:w="109"/>
        <w:gridCol w:w="109"/>
        <w:gridCol w:w="109"/>
        <w:gridCol w:w="211"/>
        <w:gridCol w:w="616"/>
        <w:gridCol w:w="109"/>
        <w:gridCol w:w="109"/>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0"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2999" w:type="dxa"/>
            <w:gridSpan w:val="1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Transaction-related Costs</w:t>
            </w:r>
            <w:r>
              <w:rPr>
                <w:rFonts w:ascii="Times New Roman;serif" w:hAnsi="Times New Roman;serif"/>
                <w:b/>
                <w:color w:val="000000"/>
                <w:sz w:val="10"/>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Certain Litigation Matters</w:t>
            </w:r>
            <w:r>
              <w:rPr>
                <w:rFonts w:ascii="Times New Roman;serif" w:hAnsi="Times New Roman;serif"/>
                <w:b/>
                <w:color w:val="000000"/>
                <w:sz w:val="10"/>
              </w:rPr>
              <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0"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999" w:type="dxa"/>
            <w:gridSpan w:val="14"/>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 in MGM Resorts 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People Incorporated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5797" w:type="dxa"/>
        <w:jc w:val="left"/>
        <w:tblInd w:w="0" w:type="dxa"/>
        <w:tblLayout w:type="fixed"/>
        <w:tblCellMar>
          <w:top w:w="28" w:type="dxa"/>
          <w:left w:w="28" w:type="dxa"/>
          <w:bottom w:w="28" w:type="dxa"/>
          <w:right w:w="28" w:type="dxa"/>
        </w:tblCellMar>
      </w:tblPr>
      <w:tblGrid>
        <w:gridCol w:w="639"/>
        <w:gridCol w:w="355"/>
        <w:gridCol w:w="357"/>
        <w:gridCol w:w="211"/>
        <w:gridCol w:w="826"/>
        <w:gridCol w:w="109"/>
        <w:gridCol w:w="109"/>
        <w:gridCol w:w="109"/>
        <w:gridCol w:w="109"/>
        <w:gridCol w:w="231"/>
        <w:gridCol w:w="790"/>
        <w:gridCol w:w="120"/>
        <w:gridCol w:w="109"/>
        <w:gridCol w:w="109"/>
        <w:gridCol w:w="109"/>
        <w:gridCol w:w="211"/>
        <w:gridCol w:w="721"/>
        <w:gridCol w:w="109"/>
        <w:gridCol w:w="109"/>
        <w:gridCol w:w="109"/>
        <w:gridCol w:w="109"/>
        <w:gridCol w:w="211"/>
        <w:gridCol w:w="826"/>
        <w:gridCol w:w="109"/>
        <w:gridCol w:w="109"/>
        <w:gridCol w:w="109"/>
        <w:gridCol w:w="109"/>
        <w:gridCol w:w="109"/>
        <w:gridCol w:w="109"/>
        <w:gridCol w:w="216"/>
        <w:gridCol w:w="632"/>
        <w:gridCol w:w="113"/>
        <w:gridCol w:w="109"/>
        <w:gridCol w:w="109"/>
        <w:gridCol w:w="109"/>
        <w:gridCol w:w="292"/>
        <w:gridCol w:w="667"/>
        <w:gridCol w:w="152"/>
        <w:gridCol w:w="109"/>
        <w:gridCol w:w="109"/>
        <w:gridCol w:w="109"/>
        <w:gridCol w:w="216"/>
        <w:gridCol w:w="738"/>
        <w:gridCol w:w="112"/>
        <w:gridCol w:w="109"/>
        <w:gridCol w:w="109"/>
        <w:gridCol w:w="109"/>
        <w:gridCol w:w="415"/>
        <w:gridCol w:w="916"/>
        <w:gridCol w:w="215"/>
        <w:gridCol w:w="109"/>
        <w:gridCol w:w="109"/>
        <w:gridCol w:w="109"/>
        <w:gridCol w:w="211"/>
        <w:gridCol w:w="616"/>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8" w:type="dxa"/>
            <w:gridSpan w:val="5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Costs, Including Certain Severance and Employee Separation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(Gains) and Losses from Lease Impairments, Terminations and Amendments and Certain Asset Sales</w:t>
            </w:r>
            <w:r>
              <w:rPr>
                <w:rFonts w:ascii="Times New Roman;serif" w:hAnsi="Times New Roman;serif"/>
                <w:b/>
                <w:color w:val="000000"/>
                <w:sz w:val="10"/>
              </w:rPr>
              <w:t>(i)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Certain Litigation Matters</w:t>
            </w:r>
            <w:r>
              <w:rPr>
                <w:rFonts w:ascii="Times New Roman;serif" w:hAnsi="Times New Roman;serif"/>
                <w:b/>
                <w:color w:val="000000"/>
                <w:sz w:val="10"/>
              </w:rPr>
              <w:t>(j)</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8" w:type="dxa"/>
            <w:gridSpan w:val="5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People Incorporated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120" w:after="24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 year ended December 31, 2025 at Corporate reflect the reversal of $49.8 million of previously recognized stock-based compensation expense related to the forfeiture of our former CEO’s restricted stock award pursuant to the Employment Transition Agreement, partially offset by $14.9 million of stock-based compensation expense related to the transfer of 5.0 million Class B shares of Angi held by the Company to our former CEO prior to the Distribution pursuant to his employment transition agreement.</w:t>
      </w:r>
    </w:p>
    <w:p>
      <w:pPr>
        <w:pStyle w:val="TextBody"/>
        <w:bidi w:val="0"/>
        <w:spacing w:lineRule="auto" w:line="276" w:before="120" w:after="24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The year ended December 31, 2025 at Corporate primarily represents separation benefits to our former CEO under his employment transition agreement and at People Inc. represents severance-related costs to better align the business with strategic growth priorities.</w:t>
      </w:r>
    </w:p>
    <w:p>
      <w:pPr>
        <w:pStyle w:val="TextBody"/>
        <w:bidi w:val="0"/>
        <w:spacing w:lineRule="auto" w:line="276" w:before="120" w:after="240"/>
        <w:ind w:left="0" w:right="0" w:hanging="36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The year ended December 31, 2025 at People Inc. Other (unallocated corporate costs) is principally related to a gain resulting from an amendment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 See “</w:t>
      </w:r>
      <w:hyperlink w:anchor="i6619b59be68b4f7a9428d08547de7a6a_55">
        <w:r>
          <w:rPr>
            <w:rStyle w:val="InternetLink"/>
            <w:rFonts w:ascii="Times New Roman;serif" w:hAnsi="Times New Roman;serif"/>
            <w:b w:val="false"/>
            <w:color w:val="0000FF"/>
            <w:sz w:val="16"/>
            <w:u w:val="single"/>
          </w:rPr>
          <w:t>Note 2—Summary of Significant Accounting Policies</w:t>
        </w:r>
      </w:hyperlink>
      <w:r>
        <w:rPr>
          <w:color w:val="000000"/>
        </w:rPr>
        <w:t xml:space="preserve">” </w:t>
      </w:r>
      <w:r>
        <w:rPr>
          <w:rFonts w:ascii="Times New Roman;serif" w:hAnsi="Times New Roman;serif"/>
          <w:b w:val="false"/>
          <w:color w:val="000000"/>
          <w:sz w:val="16"/>
        </w:rPr>
        <w:t>in the accompanying notes to the financial statements included in “</w:t>
      </w:r>
      <w:hyperlink w:anchor="i6619b59be68b4f7a9428d08547de7a6a_25">
        <w:r>
          <w:rPr>
            <w:rStyle w:val="InternetLink"/>
            <w:rFonts w:ascii="Times New Roman;serif" w:hAnsi="Times New Roman;serif"/>
            <w:b w:val="false"/>
            <w:color w:val="0000FF"/>
            <w:sz w:val="16"/>
            <w:u w:val="single"/>
          </w:rPr>
          <w:t>Item 8. Financial Statements and Supplementary Data</w:t>
        </w:r>
      </w:hyperlink>
      <w:r>
        <w:rPr>
          <w:color w:val="000000"/>
        </w:rPr>
        <w:t xml:space="preserve">” </w:t>
      </w:r>
      <w:r>
        <w:rPr>
          <w:rFonts w:ascii="Times New Roman;serif" w:hAnsi="Times New Roman;serif"/>
          <w:b w:val="false"/>
          <w:color w:val="000000"/>
          <w:sz w:val="16"/>
        </w:rPr>
        <w:t>for additional information on amendments and early terminations of lease agreements.</w:t>
      </w:r>
    </w:p>
    <w:p>
      <w:pPr>
        <w:pStyle w:val="TextBody"/>
        <w:bidi w:val="0"/>
        <w:spacing w:lineRule="auto" w:line="276" w:before="120" w:after="240"/>
        <w:ind w:left="0" w:right="0" w:hanging="36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The year ended December 31, 2025 at Corporate represents third-party costs related to the Distribution and the sale of Care.com, which was subsequently completed on March 16, 2026.</w:t>
      </w:r>
    </w:p>
    <w:p>
      <w:pPr>
        <w:pStyle w:val="TextBody"/>
        <w:bidi w:val="0"/>
        <w:spacing w:lineRule="auto" w:line="268" w:before="0" w:after="0"/>
        <w:ind w:left="0" w:right="0" w:hanging="360"/>
        <w:jc w:val="left"/>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The year ended December 31, 2025 at Emerging &amp; Other represents third-party costs related to litigation that concluded in the third quarter of 2025 related to a legacy business.</w:t>
      </w:r>
    </w:p>
    <w:p>
      <w:pPr>
        <w:pStyle w:val="TextBody"/>
        <w:bidi w:val="0"/>
        <w:spacing w:lineRule="auto" w:line="276" w:before="120" w:after="240"/>
        <w:ind w:left="0" w:right="0" w:hanging="360"/>
        <w:jc w:val="left"/>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The year ended December 31, 2024 at Emerging &amp; Other represents severance and employee separation benefits related to the sale of assets of Mosaic Group on February 15, 2024 and at People Inc. represents severance and employee separation benefits primarily related to headcount reductions intended to better align resources with strategic initiatives.</w:t>
      </w:r>
    </w:p>
    <w:p>
      <w:pPr>
        <w:pStyle w:val="TextBody"/>
        <w:bidi w:val="0"/>
        <w:spacing w:lineRule="auto" w:line="276" w:before="120" w:after="240"/>
        <w:ind w:left="0" w:right="0" w:hanging="360"/>
        <w:jc w:val="left"/>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The year ended December 31, 2024 at Corporate represents third-party costs related to the Distribution and at Emerging &amp; Other represents third-party costs related to the sale of assets of Mosaic Group on February 15, 2024.</w:t>
      </w:r>
    </w:p>
    <w:p>
      <w:pPr>
        <w:pStyle w:val="TextBody"/>
        <w:bidi w:val="0"/>
        <w:spacing w:lineRule="auto" w:line="276" w:before="120" w:after="240"/>
        <w:ind w:left="0" w:right="0" w:hanging="360"/>
        <w:jc w:val="left"/>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The year ended December 31, 2024 at Emerging &amp; Other represents third-party costs related to litigation that concluded in the third quarter of 2025 related to a legacy business and at Corporate reflects a benefit of $10.0 million related to a favorable settlement of a legal matter.</w:t>
      </w:r>
    </w:p>
    <w:p>
      <w:pPr>
        <w:pStyle w:val="TextBody"/>
        <w:bidi w:val="0"/>
        <w:spacing w:lineRule="auto" w:line="276" w:before="120" w:after="240"/>
        <w:ind w:left="0" w:right="0" w:hanging="360"/>
        <w:jc w:val="left"/>
        <w:rPr/>
      </w:pPr>
      <w:r>
        <w:rPr>
          <w:rFonts w:ascii="Times New Roman;serif" w:hAnsi="Times New Roman;serif"/>
          <w:b w:val="false"/>
          <w:color w:val="000000"/>
          <w:sz w:val="10"/>
        </w:rPr>
        <w:t>(i)</w:t>
      </w:r>
      <w:r>
        <w:rPr>
          <w:color w:val="000000"/>
        </w:rPr>
        <w:t>    </w:t>
      </w:r>
      <w:r>
        <w:rPr>
          <w:rFonts w:ascii="Times New Roman;serif" w:hAnsi="Times New Roman;serif"/>
          <w:b w:val="false"/>
          <w:color w:val="000000"/>
          <w:sz w:val="16"/>
        </w:rPr>
        <w:t>The year ended December 31, 2023 at People Inc. Other (unallocated corporate costs) represents an impairment charge of an ROU asset related to unoccupied lease space recognized in the first quarter of 2023. See “</w:t>
      </w:r>
      <w:hyperlink w:anchor="i6619b59be68b4f7a9428d08547de7a6a_55">
        <w:r>
          <w:rPr>
            <w:rStyle w:val="InternetLink"/>
            <w:rFonts w:ascii="Times New Roman;serif" w:hAnsi="Times New Roman;serif"/>
            <w:b w:val="false"/>
            <w:color w:val="0000FF"/>
            <w:sz w:val="16"/>
            <w:u w:val="single"/>
          </w:rPr>
          <w:t>Note 2—Summary of Significant Accounting Policies</w:t>
        </w:r>
      </w:hyperlink>
      <w:r>
        <w:rPr>
          <w:color w:val="000000"/>
        </w:rPr>
        <w:t xml:space="preserve">” </w:t>
      </w:r>
      <w:r>
        <w:rPr>
          <w:rFonts w:ascii="Times New Roman;serif" w:hAnsi="Times New Roman;serif"/>
          <w:b w:val="false"/>
          <w:color w:val="000000"/>
          <w:sz w:val="16"/>
        </w:rPr>
        <w:t>in the accompanying notes to the financial statements included in “</w:t>
      </w:r>
      <w:hyperlink w:anchor="i6619b59be68b4f7a9428d08547de7a6a_25">
        <w:r>
          <w:rPr>
            <w:rStyle w:val="InternetLink"/>
            <w:rFonts w:ascii="Times New Roman;serif" w:hAnsi="Times New Roman;serif"/>
            <w:b w:val="false"/>
            <w:color w:val="0000FF"/>
            <w:sz w:val="16"/>
            <w:u w:val="single"/>
          </w:rPr>
          <w:t>Item 8. Financial Statements and Supplementary Data</w:t>
        </w:r>
      </w:hyperlink>
      <w:r>
        <w:rPr>
          <w:color w:val="000000"/>
        </w:rPr>
        <w:t xml:space="preserve">” </w:t>
      </w:r>
      <w:r>
        <w:rPr>
          <w:rFonts w:ascii="Times New Roman;serif" w:hAnsi="Times New Roman;serif"/>
          <w:b w:val="false"/>
          <w:color w:val="000000"/>
          <w:sz w:val="16"/>
        </w:rPr>
        <w:t>for additional information on impairment charges related to ROU assets.</w:t>
      </w:r>
    </w:p>
    <w:p>
      <w:pPr>
        <w:pStyle w:val="TextBody"/>
        <w:bidi w:val="0"/>
        <w:spacing w:lineRule="auto" w:line="276" w:before="120" w:after="240"/>
        <w:ind w:left="0" w:right="0" w:hanging="360"/>
        <w:jc w:val="left"/>
        <w:rPr/>
      </w:pPr>
      <w:r>
        <w:rPr>
          <w:rFonts w:ascii="Times New Roman;serif" w:hAnsi="Times New Roman;serif"/>
          <w:b w:val="false"/>
          <w:color w:val="000000"/>
          <w:sz w:val="10"/>
        </w:rPr>
        <w:t>(j)</w:t>
      </w:r>
      <w:r>
        <w:rPr>
          <w:color w:val="000000"/>
        </w:rPr>
        <w:t>    </w:t>
      </w:r>
      <w:r>
        <w:rPr>
          <w:rFonts w:ascii="Times New Roman;serif" w:hAnsi="Times New Roman;serif"/>
          <w:b w:val="false"/>
          <w:color w:val="000000"/>
          <w:sz w:val="16"/>
        </w:rPr>
        <w:t>The year ended December 31, 2023 at Emerging &amp; Other represents third-party costs related to litigation that concluded in the third quarter of 2025 related to a legacy business.</w:t>
      </w:r>
    </w:p>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FINANCIAL POSITION, LIQUIDITY AND CAPITAL RESOURCES</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Financial Position</w:t>
      </w:r>
    </w:p>
    <w:tbl>
      <w:tblPr>
        <w:tblW w:w="7598" w:type="dxa"/>
        <w:jc w:val="left"/>
        <w:tblInd w:w="0" w:type="dxa"/>
        <w:tblLayout w:type="fixed"/>
        <w:tblCellMar>
          <w:top w:w="28" w:type="dxa"/>
          <w:left w:w="28" w:type="dxa"/>
          <w:bottom w:w="28" w:type="dxa"/>
          <w:right w:w="28" w:type="dxa"/>
        </w:tblCellMar>
      </w:tblPr>
      <w:tblGrid>
        <w:gridCol w:w="1676"/>
        <w:gridCol w:w="1474"/>
        <w:gridCol w:w="1484"/>
        <w:gridCol w:w="211"/>
        <w:gridCol w:w="976"/>
        <w:gridCol w:w="109"/>
        <w:gridCol w:w="109"/>
        <w:gridCol w:w="109"/>
        <w:gridCol w:w="109"/>
        <w:gridCol w:w="211"/>
        <w:gridCol w:w="97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and cash equivalents at People Inc.: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(excluding People Inc.):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(excluding People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People Inc.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international cash can be repatriated without significant tax consequences. During the year ended December 31, 2025, international cash totaling $18.5 million was repatriated to the U.S.</w:t>
      </w:r>
    </w:p>
    <w:p>
      <w:pPr>
        <w:pStyle w:val="TextBody"/>
        <w:bidi w:val="0"/>
        <w:spacing w:lineRule="auto" w:line="288" w:before="240" w:after="240"/>
        <w:ind w:left="0" w:right="0" w:firstLine="450"/>
        <w:jc w:val="left"/>
        <w:rPr/>
      </w:pPr>
      <w:r>
        <w:rPr>
          <w:rFonts w:ascii="Times New Roman;serif" w:hAnsi="Times New Roman;serif"/>
          <w:b w:val="false"/>
          <w:color w:val="000000"/>
          <w:sz w:val="20"/>
        </w:rPr>
        <w:t>The Company’s consolidated debt of approximately $1.44 billion is the liability of People Inc. For a detailed description of long-term debt and interest rate swaps, 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and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rFonts w:ascii="Times New Roman;serif" w:hAnsi="Times New Roman;serif"/>
          <w:b w:val="false"/>
          <w:color w:val="000000"/>
          <w:sz w:val="20"/>
        </w:rPr>
        <w:t>,” respectively, 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summary, the Company’s cash flows are as follows:</w:t>
      </w:r>
    </w:p>
    <w:tbl>
      <w:tblPr>
        <w:tblW w:w="9229" w:type="dxa"/>
        <w:jc w:val="left"/>
        <w:tblInd w:w="0" w:type="dxa"/>
        <w:tblLayout w:type="fixed"/>
        <w:tblCellMar>
          <w:top w:w="28" w:type="dxa"/>
          <w:left w:w="28" w:type="dxa"/>
          <w:bottom w:w="28" w:type="dxa"/>
          <w:right w:w="28" w:type="dxa"/>
        </w:tblCellMar>
      </w:tblPr>
      <w:tblGrid>
        <w:gridCol w:w="1732"/>
        <w:gridCol w:w="1520"/>
        <w:gridCol w:w="1533"/>
        <w:gridCol w:w="211"/>
        <w:gridCol w:w="901"/>
        <w:gridCol w:w="109"/>
        <w:gridCol w:w="109"/>
        <w:gridCol w:w="109"/>
        <w:gridCol w:w="109"/>
        <w:gridCol w:w="211"/>
        <w:gridCol w:w="826"/>
        <w:gridCol w:w="109"/>
        <w:gridCol w:w="109"/>
        <w:gridCol w:w="109"/>
        <w:gridCol w:w="109"/>
        <w:gridCol w:w="211"/>
        <w:gridCol w:w="901"/>
        <w:gridCol w:w="311"/>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attributable to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attributable to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(39,197)</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 attributable to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attributable to continuing operations consists of net loss adjusted for non-cash items and the effect of changes in working capital. Non-cash adjustments include the unrealized (gains) losses on the investment in MGM, amortization of intangibles, depreciation, stock-based compensation expense, deferred income taxes, non-cash lease expense (including ROU asset impairments), net gains (losses) on amendments and early terminations of lease agreements, loss related to the allocation of a disputed gain on a real estate transaction, net losses (gains) on sales of investments and businesses (including unrealized losses on investments), increase in the estimated fair value of a warrant and goodwill impairment.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Adjustments to net earnings from continuing operations consist primarily of amortization of intangibles of $89.2 million, depreciation of $35.0 million, non-cash lease expense (including ROU asset impairments) of $33.1 million, stock-based compensation expense of $27.9 million, deferred income taxes of $20.7 million, loss related to the allocation of a disputed gain on a real estate transaction of $19.2 million and net loss on sales of investments and a business (including unrealized losses on investments) of $17.7 million, partially offset by an unrealized gain on investment in MGM of $119.2 million and net gains on amendments and early terminations of lease agreements of $42.2 million. The decrease from changes in working capital includes a decrease in operating lease liabilities of $87.5 million, a decrease in accounts payable and other liabilities of $18.9 million and an increase in accounts receivable of $12.3 million. The decrease in operating lease liabilities is due to cash payments on leases, including $47.4 million related to the amendments to a lease, which provided for the surrender of certain office space early at People Inc., net of interest accretion. The decrease in accounts payable and other liabilities is due primarily to a decrease in accrued employee compensation due primarily to a decrease in bonuses and timing of payments, including severance payments, partially offset by an increase in accrued separation benefits for our former CEO under the Employment Transition Agreement, a decrease in accrued interest on People Inc.’s long-term debt due primarily to timing of payments and reductions in principal and interest rates following the Term Loan refinancing completed in the second quarter of 2025 and a decrease in accrued professional fees due, in part, to payment of fees previously accrued at Corporate in connection with the Distribution. The increase in accounts receivable is due primarily to an increase at People Inc. due primarily to an increase in revenue at People Inc.’s Digital segment, partially offset by a decrease at People Inc.’s Print segment due primarily to timing of cash receipts.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attributable to continuing operations includes $386.6 million related to the allocation of Angi Inc. cash in the Distribution, the purchase of 1.1 million common shares of MGM for $40.0 million and capital expenditures of $17.7 million, partially offset by the net proceeds from the sales of fixed assets of $17.3 million, primarily from the sale of an aircraft at People Inc., proceeds from the sale of a portion of the retirement investment fund of $13.9 million at People Inc. and net proceeds from the sales of investments of $11.4 million.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principal payments on the Term Loans of $1.4 billion and debt issuance and deferred financing costs of $12.9 million, partially offset by the net proceeds from the Term Loans refinancing of $991.5 million and proceeds from the issuance of the 2032 Notes of $400.0 million. Net cash used in financing activities attributable to continuing operations also includes $315.0 million for the repurchase of 7.6 million shares of common stock, on a settlement date basis, at an average price of $41.19 per share, and withholding taxes paid on behalf of employees for net settled stock-based awards of $79.9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2024</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Adjustments to net loss from continuing operations consist primarily of an unrealized loss on the investment in MGM of $649.2 million, amortization of intangibles of $136.4 million, stock-based compensation expense of $73.2 million, non-cash lease expense (including ROU asset impairments) of $36.0 million and depreciation of $34.8 million, partially offset by deferred income taxes of $162.6 million, an increase in the estimated fair value of a warrant of $20.4 million and net gains on sales of businesses and investments (including unrealized losses on investments) of $10.5 million, which includes $29.2 million gain on the sale of assets of Mosaic Group in February 2024. The increase from changes in working capital include a decrease in other assets of $73.5 million and an increase in accounts payable and other liabilities of $6.5 million, partially offset by a decrease in operating lease liabilities of $46.9 million and an increase in accounts receivable of $26.0 million. The decrease in other assets is due primarily to a decrease in prepaid hosting services at Corporate and People Inc., receipt of pre-acquisition income tax refunds at People Inc. and the liquidation of the domestic funded pension plan at People Inc. in connection with the termination of the plan. The increase in accounts payable and other liabilities is due, in part, to an increase in accrued employee compensation, due primarily to an increase in accrued severance related to headcount reductions at People Inc. and an increase in bonuses and an increase in accrued professional fees due, in part, to fees at Corporate in connection with the Distribution, partially offset by timing of payments, a decrease in non-income tax accruals due primarily to the completion of certain audits and a decrease in accrued advertising due primarily to timing of payments. The decrease in operating lease liabilities is due to cash payments on leases net of interest accretion. The increase in accounts receivable is due primarily to an increase at People Inc. due primarily to an increase in revenue in the fourth quarter of 2024 relative to 2023, partially offset by a decrease at Mosaic Group due to cash receipts prior to the sale of its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attributable to continuing operations includes maturities of marketable debt securities of $375.0 million, net proceeds from the sales of businesses and investments of $177.2 million, including $155 million from the sale of assets of Mosaic Group, net proceeds from the sales of assets of $12.7 million, principally from the sale of an aircraft at People Inc., and collections of notes receivable of $11.8 million, partially offset by $221.8 million for the purchases of marketable debt securities, the purchase of a retirement investment fund of $16.0 million at People Inc. in connection with the termination of the domestic funded pension plan and transfer of the remaining assets to the Company’s retirement savings plan and capital expenditures of $14.5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payments on the Term Loans of $68.0 million, including a $30.0 million principal prepayment and $8.0 million of additional principal payments made to certain People Inc. Term Loan B lenders; the $8.0 million in additional principal payments were offset by additional borrowings from new and existing lenders under People Inc. Term Loan B-1 of $8.0 million. Net cash used in financing activities attributable to continuing operations also includes withholding taxes paid on behalf of employees for stock-based awards that were net settled of $15.0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2023</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Adjustments to net earnings from continuing operations consist primarily of an unrealized gain on the investment in MGM of $721.7 million and an unrealized increase in the estimated fair value of a warrant of $2.8 million, partially offset by amortization of intangibles of $280.2 million, non-cash lease expense of $84.8 million, depreciation of $77.6 million, stock-based compensation expense of $69.1 million, deferred income taxes of $64.6 million, net losses on investments in equity securities (including downward and upward adjustments) and sales of businesses of $18.1 million and goodwill impairment of $9.0 million. The decrease from changes in working capital include a decrease in accounts payable and other liabilities of $78.3 million and a decrease in operating lease liabilities of $49.4 million. The decrease in accounts payable and other liabilities is due, in part, to a decrease in accrued employee compensation, due primarily to restructuring related severance payments at People Inc., a decrease in accrued traffic acquisition costs and related payables at People Inc. and a decrease in accrued advertising at People Inc. The decrease in operating lease liabilities is due to cash payments on leases net of interest accretion.</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attributable to continuing operations includes $443.1 million for the purchase of marketable debt securities, $103.6 million for the purchase of additional preferred shares of Turo and capital expenditures of $91.5 million, primarily related to payment of approximately $80 million for the acquisition of the formerly leased land under the Company’s New York City headquarters building, partially offset by maturities of marketable debt securities of $537.5 million, net proceeds from the sales of assets of $29.4 million, including $28.2 million related to the sale of a building at People Inc., net collections of notes receivable of $11.3 million and net proceeds from the sales of businesses and investments of $10.9 million.</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the repurchase of 3.2 million shares of common stock, on a settlement date basis, for $165.6 million at an average price of $51.00 per share, principal payments on the Term Loans of $30.0 million and withholding taxes paid on behalf of employees for stock-based awards that were net settled of $10.6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discontinued operations of $8.2 million, $119.3 million and $147.1 million for the years ended December 31, 2025, 2024 and 2023, respectively, relates to the operations of Care.com, Search and Angi. The Company does not expect significant future cash flows to be used in or provided by its discontinued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Financing Arrangements </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May 14, 2025, People Inc. entered into Amendment No. 2, which replaced $288.8 million of the then outstanding Term Loan A with $350 million of the Term Loan A-1 and provided for the new Revolving Facility of $150 million, which replaced the then existing revolving credit facility. On June 16, 2025, People Inc. completed the refinancing and replacement of its then outstanding $1.18 billion Term Loan B-1 with a combination of $700 million of the Term Loan B-2 and $400 million of the 2032 Notes. In addition to extending the maturity dates of People Inc.’s debt, the refinancing transactions resulted in a net decrease in debt of $21.3 million, which was funded by cash on hand.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December 31, 2025, the Term Loan A-1 bore interest at SOFR plus 2.00%, or 5.73%, and the Term Loan B-2 bore interest at SOFR, subject to a minimum of 0.50%, plus 3.50%, or 7.37%.</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People Inc. holds interest rate swaps to manage interest rate risk with a total notional amount of $350 million and which will expire on April 1, 2027 (“Interest Rate Swaps”). The Interest Rate Swaps synthetically convert a portion of the Term Loan B-2 and, prior to the effectiveness of Amendment No. 3, the Term Loan B-1, from a variable rate to a fixed rate.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 </w:t>
      </w:r>
    </w:p>
    <w:p>
      <w:pPr>
        <w:pStyle w:val="TextBody"/>
        <w:bidi w:val="0"/>
        <w:spacing w:lineRule="auto" w:line="288" w:before="0" w:after="0"/>
        <w:jc w:val="left"/>
        <w:rPr/>
      </w:pPr>
      <w:r>
        <w:rPr>
          <w:rFonts w:ascii="Times New Roman;serif" w:hAnsi="Times New Roman;serif"/>
          <w:b w:val="false"/>
          <w:color w:val="000000"/>
          <w:sz w:val="20"/>
        </w:rPr>
        <w:t>For a detailed description of long-term debt and the Interest Rate Swaps, 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and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rFonts w:ascii="Times New Roman;serif" w:hAnsi="Times New Roman;serif"/>
          <w:b w:val="false"/>
          <w:color w:val="000000"/>
          <w:sz w:val="20"/>
        </w:rPr>
        <w:t>,” respectively, 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rFonts w:ascii="Times New Roman;serif" w:hAnsi="Times New Roman;serif"/>
          <w:b w:val="false"/>
          <w:color w:val="000000"/>
          <w:sz w:val="20"/>
        </w:rPr>
        <w:t>.”</w:t>
      </w:r>
    </w:p>
    <w:p>
      <w:pPr>
        <w:pStyle w:val="TextBody"/>
        <w:bidi w:val="0"/>
        <w:spacing w:before="0" w:after="0"/>
        <w:ind w:left="0" w:right="0" w:firstLine="45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Investment in MGM</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owns 65.8 million common shares of MGM, including 1.1 million common shares purchased in the fourth quarter of 2025 for $40.0 million. Based on the number of MGM common shares outstanding at December 31, 2025, the Company owns approximately 25.5% of MGM.</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Investment in Turo</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Company’s ownership interest in Turo is approximately 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Share Repurchase Activity and Authorizations</w:t>
      </w:r>
    </w:p>
    <w:p>
      <w:pPr>
        <w:pStyle w:val="TextBody"/>
        <w:bidi w:val="0"/>
        <w:spacing w:lineRule="auto" w:line="288" w:before="0" w:after="240"/>
        <w:jc w:val="left"/>
        <w:rPr/>
      </w:pPr>
      <w:r>
        <w:rPr>
          <w:rFonts w:ascii="Times New Roman;serif" w:hAnsi="Times New Roman;serif"/>
          <w:b w:val="false"/>
          <w:color w:val="000000"/>
          <w:sz w:val="20"/>
        </w:rPr>
        <w:t xml:space="preserve">During the year ended December 31, 2025, the Company repurchased 7.7 million shares of its common stock, on a trade date basis, at an average of $41.18 per share, or $316.1 million in aggregate, consisting of the remaining 3.7 million shares of its existing stock repurchase authorization from June of 2020 and 4.0 million shares of the 10 million share repurchase authorization, which was approved by the board of directors of the Company on March 16, 2025 (the “2025 Share Authorization”). From January 1, 2026 through February 2, 2026, the Company repurchased an additional 0.5 million shares of its common stock, on a trade date basis, at an average price of $38.39 per share, or $20.9 million in aggregate. On a combined basis, the 8.2 million shares repurchased represents approximately 10% of our common and Class B shares outstanding as of December 31, 2024. At February 2, 2026, the Company </w:t>
      </w:r>
      <w:r>
        <w:rPr>
          <w:rFonts w:ascii="Times New Roman;serif" w:hAnsi="Times New Roman;serif"/>
          <w:b w:val="false"/>
          <w:color w:val="000000"/>
          <w:sz w:val="20"/>
          <w:shd w:fill="FFFFFF" w:val="clear"/>
        </w:rPr>
        <w:t xml:space="preserve">has </w:t>
      </w:r>
      <w:r>
        <w:rPr>
          <w:rFonts w:ascii="Times New Roman;serif" w:hAnsi="Times New Roman;serif"/>
          <w:b w:val="false"/>
          <w:color w:val="000000"/>
          <w:sz w:val="20"/>
        </w:rPr>
        <w:t>5.5 million</w:t>
      </w:r>
      <w:r>
        <w:rPr>
          <w:color w:val="000000"/>
          <w:shd w:fill="FFFFFF" w:val="clear"/>
        </w:rPr>
        <w:t xml:space="preserve"> </w:t>
      </w:r>
      <w:r>
        <w:rPr>
          <w:rFonts w:ascii="Times New Roman;serif" w:hAnsi="Times New Roman;serif"/>
          <w:b w:val="false"/>
          <w:color w:val="000000"/>
          <w:sz w:val="20"/>
          <w:shd w:fill="FFFFFF" w:val="clear"/>
        </w:rPr>
        <w:t>sha</w:t>
      </w:r>
      <w:r>
        <w:rPr>
          <w:rFonts w:ascii="Times New Roman;serif" w:hAnsi="Times New Roman;serif"/>
          <w:b w:val="false"/>
          <w:color w:val="000000"/>
          <w:sz w:val="20"/>
        </w:rPr>
        <w:t>res remaining in the 2025 Share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240"/>
        <w:jc w:val="left"/>
        <w:rPr/>
      </w:pPr>
      <w:r>
        <w:rPr>
          <w:rFonts w:ascii="Times New Roman;serif" w:hAnsi="Times New Roman;serif"/>
          <w:b w:val="false"/>
          <w:color w:val="000000"/>
          <w:sz w:val="20"/>
        </w:rPr>
        <w:t>The Company enters into various contractual arrangements as a part of its operations. Material contractual obligations as of December 31, 2025 are described in the accompanying notes to the financial statements within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w:t>
      </w:r>
      <w:r>
        <w:rPr>
          <w:rFonts w:ascii="Times New Roman;serif" w:hAnsi="Times New Roman;serif"/>
          <w:b w:val="false"/>
          <w:color w:val="000000"/>
          <w:sz w:val="20"/>
        </w:rPr>
        <w:t>; these include operating leases as described in “</w:t>
      </w:r>
      <w:hyperlink w:anchor="i6619b59be68b4f7a9428d08547de7a6a_67">
        <w:r>
          <w:rPr>
            <w:rStyle w:val="InternetLink"/>
            <w:rFonts w:ascii="Times New Roman;serif" w:hAnsi="Times New Roman;serif"/>
            <w:b w:val="false"/>
            <w:color w:val="0000FF"/>
            <w:sz w:val="20"/>
            <w:u w:val="single"/>
          </w:rPr>
          <w:t>Note 5—Leases</w:t>
        </w:r>
      </w:hyperlink>
      <w:r>
        <w:rPr>
          <w:rFonts w:ascii="Times New Roman;serif" w:hAnsi="Times New Roman;serif"/>
          <w:b w:val="false"/>
          <w:color w:val="000000"/>
          <w:sz w:val="20"/>
        </w:rPr>
        <w:t>,” principal and interest payments on long-term debt as described in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and pension and post-retirement benefits as described in “</w:t>
      </w:r>
      <w:hyperlink w:anchor="i6619b59be68b4f7a9428d08547de7a6a_91">
        <w:r>
          <w:rPr>
            <w:rStyle w:val="InternetLink"/>
            <w:rFonts w:ascii="Times New Roman;serif" w:hAnsi="Times New Roman;serif"/>
            <w:b w:val="false"/>
            <w:color w:val="0000FF"/>
            <w:sz w:val="20"/>
            <w:u w:val="single"/>
          </w:rPr>
          <w:t>Note 11—Pension and Post-Retirement Benefit Plans</w:t>
        </w:r>
      </w:hyperlink>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material purchase obligations, which represent legally binding agreements to purchase goods and services that specify all significant terms. Future payments under these agreements at December 31, 2025 are as follows:</w:t>
      </w:r>
    </w:p>
    <w:tbl>
      <w:tblPr>
        <w:tblW w:w="8931" w:type="dxa"/>
        <w:jc w:val="left"/>
        <w:tblInd w:w="0" w:type="dxa"/>
        <w:tblLayout w:type="fixed"/>
        <w:tblCellMar>
          <w:top w:w="28" w:type="dxa"/>
          <w:left w:w="28" w:type="dxa"/>
          <w:bottom w:w="28" w:type="dxa"/>
          <w:right w:w="28" w:type="dxa"/>
        </w:tblCellMar>
      </w:tblPr>
      <w:tblGrid>
        <w:gridCol w:w="658"/>
        <w:gridCol w:w="577"/>
        <w:gridCol w:w="58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66"/>
        <w:gridCol w:w="512"/>
        <w:gridCol w:w="138"/>
        <w:gridCol w:w="109"/>
        <w:gridCol w:w="109"/>
        <w:gridCol w:w="109"/>
        <w:gridCol w:w="369"/>
        <w:gridCol w:w="1446"/>
        <w:gridCol w:w="269"/>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Commitment Expiration Per Period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Amounts Committed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124,634 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Purchase obligations include future payments of (i) $80.1 million related to cloud computing arrangements with payments of approximately $23.3 million and $33.8 million expected to be paid in the years ended December 31, 2026 and 2027, respectively, and the remaining payments of approximately $23.0 million expected to be paid by August 31, 2028, (ii) $10.2 million related to office productivity and email tools, (iii) $6.6 million related to email marketing services and (iv) $5.3 million related to research tools.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anticipates that it will need to continue to make capital expenditures in connection with the development and expansion of its operations. The Company’s 2026 capital expenditures are expected to be higher than its 2025 capital expenditures of $17.7 million by approximately 60% to 70%, due primarily to leasehold improvements primarily related to the optimization of the remaining space under the amended leases.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Liquidity Assessment </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a consolidated basis, the Company generated positive cash flows from operating activities of $24.8 million for the year ended December 31, 2025; excluding the positive cash flows from operating activities of $120.0 million generated by People Inc., the Company generated negative cash flows from operating activities of $95.2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Company’s consolidated cash and cash equivalents were $941.3 million, of which $284.3 million was held by People Inc. The Company may not be able to freely access People Inc.’s cash due to the provisions of the People Inc. debt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450"/>
        <w:jc w:val="left"/>
        <w:rPr/>
      </w:pPr>
      <w:r>
        <w:rPr>
          <w:rFonts w:ascii="Times New Roman;serif" w:hAnsi="Times New Roman;serif"/>
          <w:b w:val="false"/>
          <w:color w:val="000000"/>
          <w:sz w:val="20"/>
        </w:rPr>
        <w:t>The Company’s consolidated debt of approximately $1.44 billion is the liability of People Inc. The governing agreements contain covenants that would limit People Inc.’s ability to pay dividends, incur incremental secured indebtedness or make distributions or certain investments in the event a default has occurred or if People Inc.’s consolidated net leverage ratio exceeds 4.0 to 1.0, subject to certain available amounts, all as defined in the governing agreements. People Inc.’s consolidated net leverage ratio was less than 4.0 to 1.0 for the test period ended December 31, 2025. 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During the years ended December 31, 2025 and 2024, the Company made total contributions of $135 million and $125 million, respectively, to People Inc. Payments occurred immediately prior to the end of a quarter, thereby improving the consolidated net leverage ratios. These amounts were distributed to the Company by People Inc. early in the subsequent quarter. There were no contributions by the Company in the quarters ended December 31, 2025 and 2024. 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liquidity could be negatively affected by a decrease in demand for its products and services resulting from adverse market, macroeconomic or geopolitical conditions, including declines in consumer confidence or spending, high or volatile interest rates, inflationary pressures, labor market disruptions or other factors that reduce customers’ willingness or ability to pay for our offerings.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People Inc.’s existing cash, cash equivalents and expected positive cash flows from operations, and the Company’s existing cash and cash equivalents, excluding People Inc., will be sufficient to fund their respective normal operating requirements, including capital expenditures, debt service, the payment of withholding taxes on behalf of employees for net-settled stock-based awards and investing and other commitments for the next twelve months, and thereafter for the foreseeable future. The Company may need to raise additional capital through future debt or equity financing to refinance its existing capital structure and make acquisitions and investments. Additional financing may not be available on terms favorable to the Company, or at all, and may also be impacted by any disruptions or volatility in the financial markets. The indebtedness at People Inc. could further limit the Company’s ability to raise additional financing.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left"/>
        <w:rPr/>
      </w:pPr>
      <w:r>
        <w:rPr>
          <w:rFonts w:ascii="Times New Roman;serif" w:hAnsi="Times New Roman;serif"/>
          <w:b w:val="false"/>
          <w:color w:val="000000"/>
          <w:sz w:val="20"/>
        </w:rPr>
        <w:t>The following disclosure is provided to supplement the descriptions of People Incorporated’s accounting policies contained in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in regard to significant areas of judgment. Management of the Company is required to make certain estimates, judgments and assumptions during the preparation of its financial statements in accordance with GAAP. These estimates, judgments and assumptions affect the amounts and disclosures reported in the financial statements and accompanying notes. Actual results could differ from these estimates. Because of the size of the financial statement elements to which they relate, some of our accounting policies and estimates have a more significant impact on our financial statements than others. What follows is a discussion of some of our more significant accounting policies and estimates.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Investment in MGM</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owns 65.8 million common shares of MGM, including 1.1 million common shares purchased in the fourth quarter of 2025 for $40.0 million, which represents approximately 25.5% of MGM’s common shares outstanding. The Company accounts for its investment in MGM under the equity method of accounting and has elected to account for this investment pursuant to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cumulative unrealized net pre-tax gain through December 31, 2025 is $1.1 billion. For the years ended December 31, 2025, 2024 and 2023, the Company recorded unrealized pre-tax gains (losses) from its investment in MGM of $119.2 million, $(649.2) million and $721.7 million, respectively. A $2.00 increase or decrease in the share price of MGM would result in an unrealized gain or loss, respectively, of $131.6 million. At February 2, 2026, the fair value of the Company’s investment in MGM was $2.2 billion.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Recoverability of Goodwill and Indefinite-Lived Intangible Assets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value of goodwill is $1.5 billion at both December 31, 2025 and 2024, respectively. Non-current assets of discontinued operations also include goodwill with a carrying value of $283.4 million and $490.9 million at December 31, 2025 and 2024, respectively, related to Care.com. Indefinite-lived intangible assets, which consist of the Company’s acquired trade names and trademarks, have a carrying value of $286.2 million at both December 31, 2025 and 2024. Non-current assets of discontinued operations also include indefinite-lived intangible assets with a carrying value of $59.3 million at both December 31, 2025 and 2024 related to Care.com.</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assessed annually for impairment as of October 1 or more frequently if an event occurs or circumstances change that would indicate that it is more likely than not that the fair value of a reporting unit or the fair value of an indefinite-lived intangible asset has declined below its carrying value. The Company’s annual assessment of the recovery of goodwill begins with management’s reassessment of its operating segments and reporting units. The Company’s reporting units correspond to the Company’s operating segments.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performing its annual impairment assessment of goodwill and indefinite-lived intangible assets, the Company has the option under GAAP to perform a qualitative assessment as part of its annual impairment assessment to evaluate whether it is more likely than not that the fair value of the reporting unit and/or the fair value of indefinite-lived intangible assets is less than their respective carrying value(s). If the qualitative assessment concludes that it is more likely than not that fair value is less than carrying value, a quantitative assessment is performed to estimate the fair value of the reporting unit and/or the fair value of indefinite-lived intangible assets. GAAP provides a not all-inclusive set of examples of macroeconomic, industry, market and company specific factors for entities to consider in performing the qualitative assessment described above; management considers the factors it deems relevant in making its more-likely-than-not assessments. If the carrying value exceeds the estimated fair value, an impairment equal to the excess is recorded. Impairments of indefinite-lived intangible assets are included in “Amortization of intangibles” in the statement of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Company’s annual goodwill test as of October 1, 2025, the Company elected to perform a qualitative assessment for each of its reporting units that have goodwill (the Company’s People Inc.’s Print, Search (reflected in discontinued operations), The Daily Beast and IAC Films reporting units have no goodwill for any period presented). The October 1, 2025 qualitative assessment resulted in no impairments.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primary factors that the Company considered in its qualitative assessment were (i) the extent to which the most recent estimated fair value exceeded the carrying value for each reporting unit; (ii) the current year actual and forecasted operating results of the reporting unit; and (iii) an evaluation of relevant events and circumstances that may impact earnings or key valuation assumptions of each reporting unit such as cost factors, legal and regulatory environment, macroeconomic and market conditions, and other relevant factors that may affect the fair value of the reporting unit.</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the Company reassessed the fair value of and performed a quantitative test of the Care.com reporting unit (reflected in discontinued operations) and recorded a goodwill impairment of $207.5 million. The Company’s reassessment of goodwill for the Care.com reporting unit was based on current market conditions. The fair value of the reporting unit was determined using observable market participant data. During the fourth quarter of 2024, the Company reassessed the fair value of and performed a quantitative test of all of its reporting units that had goodwill. The Company’s reassessment of the goodwill of all of its reporting units as of December 31, 2024 was due to the decline in the Company’s stock price. No impairments of goodwill were recorded following this reassessment.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carrying value of goodwill for which the most recent estimate of the excess of fair value over carrying value is less than 20% is $283.4 million, which is attributable to the Care.com reporting unit (reflected in discontinued operations). </w:t>
      </w:r>
    </w:p>
    <w:p>
      <w:pPr>
        <w:pStyle w:val="TextBody"/>
        <w:bidi w:val="0"/>
        <w:spacing w:lineRule="auto" w:line="288" w:before="0" w:after="0"/>
        <w:jc w:val="left"/>
        <w:rPr/>
      </w:pPr>
      <w:r>
        <w:rPr>
          <w:rFonts w:ascii="Times New Roman;serif" w:hAnsi="Times New Roman;serif"/>
          <w:b w:val="false"/>
          <w:color w:val="000000"/>
          <w:sz w:val="20"/>
        </w:rPr>
        <w:t xml:space="preserve">Under a quantitative assessment, the fair value of the Company’s reporting units is generally determined using both an income approach based on discounted cash flows (“DCF”) and a market approach when it tests goodwill for impairment. Determining fair value using a DCF analysis requires the exercise of significant judgment with respect to several items, including the amount and timing of expected future cash flows and appropriate discount rates. The expected cash flows used in the DCF analyses were based on the Company’s then most recent forecast and budget and, for years beyond the budget, the Company’s estimates, which were based, in part, on forecasted growth rates. The discount rates used in the DCF analyses were intended to reflect the risks inherent in the expected future cash flows of the respective reporting units. Assumptions used in the DCF analyses, including the discount rate, were assessed based on each reporting unit’s then current results and forecasted future performance, as well as macroeconomic and industry specific factors. The </w:t>
      </w:r>
      <w:r>
        <w:rPr>
          <w:rFonts w:ascii="Times New Roman;serif" w:hAnsi="Times New Roman;serif"/>
          <w:b w:val="false"/>
          <w:color w:val="000000"/>
          <w:sz w:val="20"/>
          <w:shd w:fill="FFFFFF" w:val="clear"/>
        </w:rPr>
        <w:t xml:space="preserve">discount rates used for determining the fair values of the Company’s Care.com reporting unit </w:t>
      </w:r>
      <w:r>
        <w:rPr>
          <w:rFonts w:ascii="Times New Roman;serif" w:hAnsi="Times New Roman;serif"/>
          <w:b w:val="false"/>
          <w:color w:val="000000"/>
          <w:sz w:val="20"/>
        </w:rPr>
        <w:t xml:space="preserve">(reflected in discontinued operations) </w:t>
      </w:r>
      <w:r>
        <w:rPr>
          <w:rFonts w:ascii="Times New Roman;serif" w:hAnsi="Times New Roman;serif"/>
          <w:b w:val="false"/>
          <w:color w:val="000000"/>
          <w:sz w:val="20"/>
          <w:shd w:fill="FFFFFF" w:val="clear"/>
        </w:rPr>
        <w:t xml:space="preserve">as of October 1,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People Inc.’s Digital reporting unit and the Company’s Care.com and Vivian Health reporting units as of December 31, 2024 were 14%, 14.5%, 14.5%, and 23%, respectively. Determining fair value using a market approach considers multiples of financial metrics based on </w:t>
      </w:r>
      <w:r>
        <w:rPr>
          <w:rFonts w:ascii="Times New Roman;serif" w:hAnsi="Times New Roman;serif"/>
          <w:b w:val="false"/>
          <w:color w:val="000000"/>
          <w:sz w:val="20"/>
        </w:rPr>
        <w:t>both acquisitions and trading multiples of a selected peer group of companies. From the comparable companies, a representative market multiple was determined, which was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 The October 1, 2024 and 2023 annual assessments of goodwill resulted in no impairments.</w:t>
      </w:r>
    </w:p>
    <w:p>
      <w:pPr>
        <w:pStyle w:val="TextBody"/>
        <w:bidi w:val="0"/>
        <w:spacing w:before="0" w:after="0"/>
        <w:jc w:val="left"/>
        <w:rPr/>
      </w:pPr>
      <w:r>
        <w:rPr/>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the Company recorded a goodwill impairment of $9.0 million following the Company’s reassessment of the fair value of the Mosaic Group reporting unit (included within Emerging &amp; Other prior to the sale of its assets on February 15,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its annual impairment test as of October 1, 2025, the Company elected to perform a qualitative assessment for each of its indefinite-lived intangible assets. The qualitative assessment as of October 1, 2025 resulted in no impairments. The primary factors that the Company considered in its qualitative assessment were (i) the extent to which the most recent estimated fair value exceeded the carrying value for each indefinite-lived intangible asset; (ii) the current year actual and forecasted operating results considered relevant for each applicable indefinite-lived intangible asset; and (iii) an evaluation of relevant events and circumstances that may impact key valuation assumptions or expected future cash flows of each indefinite-lived intangible asset such as cost factors, legal and regulatory environment, macroeconomic and market conditions, and other relevant factors that may affect the fair value of the indefinite-lived intangible asset.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2024 and 2023, the Company performed a quantitative assessment to determine the fair value of each of its indefinite-lived intangible assets as of October 1. When a quantitative test is performed, 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then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macroeconomic and industry specific factors. The discount rates used in the Company’s indefinite-lived quantitative impairment assessment (including those of Care.com, reflected in discontinued operations) in 2024 ranged from 13.5% to 14% and the royalty rates used ranged from 2% to 8%. The October 1, 2024 annual assessment of indefinite-lived intangible assets resulted in no impairments. The October 1, 2023 quantitative assessment of indefinite-lived intangible assets identified an impairment of $79.9 million related to certain other indefinite-lived trade name intangible assets in People Inc.’s Digital segment. The discount rate used to value these trade names was 15.5% and the royalty rate was 6%.</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2024, the Company determined that a projected reduction in future revenue related to certain indefinite-lived trade name intangible assets with a carrying value of $20.7 million in the People Inc.’s Digital segment resulted in a change in classification to definite-lived intangible assets to be amortized over their respective useful lives. There was no impairment recorded in connection with the change in classification.</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2023, the Company determined that a projected reduction in future revenue related to a certain indefinite-lived trade name intangible asset in the People Inc.’s Digital segment was an indicator of possible impairment. Following the identification of the indicator, the Company updated its calculation of the fair value of the indefinite-lived intangible asset and recorded an impairment of $7.6 million. The discount rate used to value the trade name was 16% and the royalty rate was 8%. A quantitative assessment of this indefinite-lived trade name intangible asset was prepared as of October 1, 2023; this test resulted in no additional impairment as its carrying value approximates its fair value.</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no indefinite-lived intangible assets for which the most recent estimate of the excess fair value over carrying value is less than 20%.</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Recoverability of Long-Lived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review the carrying value of all long-lived assets, other than goodwill and indefinite-lived intangible assets,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 The carrying value of these long-lived assets is $547.8 million and $724.2 million at December 31, 2025 and 2024, respectively.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2023, due to the continued decline in the commercial real estate market, People Inc. recorded impairment charges of $70.0 million related to certain unoccupied leased office space consisting of impairments of $44.7 million of an ROU asset and $25.3 million of the related leasehold improvements, furniture and equipment.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impairment charges related to ROU assets are included in “General and administrative expense” and the impairment charges related to leasehold improvements, furniture and equipment are included in “Depreciation” in the statement of operations. The impairment charges represent the amount by which the carrying value of the asset group exceeded its estimated fair value, calculated using a DCF approach using sublease market assumptions of the expected cash flows and discount rate. The impairment charges were allocated between the ROU assets and related leasehold improvements, furniture and equipment of the asset group based on their relative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At December 31, 2025 and 2024, the balance of the Company’s net deferred tax liabilities is $207.2 million and $202.7 million, respectively, which are net of deferred tax assets, net of valuation allowance, of $418.0 million and $420.0 million, respectively. The Company’s net deferred tax assets reflect a portion attributable to net operating losses of $207.3 million and $162.8 million as of December 31, 2025 and 2024,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measurement of uncertain tax positions is inherently difficult and requires subjective estimations of the probability of various possible outcomes and the amounts that are more likely than not to be sustainable upon examination. At December 31, 2025 and 2024, the Company has unrecognized tax benefits of $13.0 million and $11.5 million, respectively; these amounts include interest and penalties, which are not material. We consider many factors when evaluating and estimating our tax positions and unrecognized tax benefits, which may require periodic adjustment and which may not accurately anticipate actual outcomes.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ultimate amount of deferred income tax assets realized and the amounts paid for deferred income tax liabilities and unrecognized tax benefits may vary from our estimates due to future changes in income tax law, state income tax apportionment or the outcome of any review of our tax returns by the various tax authorities, as well as actual operating results of the Company that vary significantly from anticipated results. Although management currently believes changes in deferred income tax assets realized and the amounts paid for deferred income tax liabilities and unrecognized tax benefits will not have a material impact on the liquidity, results of operations, or financial condition of the Company, these matters are subject to inherent uncertainties and management’s view of these matters may change in the future.</w:t>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Stock-Based Compensation</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at the Company is inherently complex. Our desire is to attract, retain, incentivize and reward our management team and employees at each of our subsidiaries, including those employed by companies we acquire, by allowing them to benefit directly from the value they help to create. We accomplish these objectives, in part, by issuing equity awards denominated in People Incorporated as well as in the equity of certain of our subsidiaries. We further refine this approach by tailoring certain equity awards to the applicable circumstances. For example, we have in the past issued certain equity awards for which vesting is linked to the achievement of a value target for a subsidiary or the Company’s stock price, as applicable; these awards are referred to as market-based awards. In other cases, we link the vesting of equity awards to the achievement of a performance target such as revenue and/or profits; these awards are referred to as performance-based stock units. The nature and variety of these types of equity-based awards creates complexity in our determination of stock-based compensation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our spin-offs and internal reorganizations can lead to modification of equity awards, which may create additional complexity and additional stock-based compensation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Finally, the means by which we settle our equity-based awards also introduces complexity into our financial reporting. We provide a path to liquidity by settling the subsidiary denominated awards in the Company’s shares.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Stock-based compensation expense reflected in our statement of operations includes expense related to equity awards granted in the form of People Incorporated denominated awards and awards issued by certain of our subsidiaries. Awards granted have principally been in the form of restricted stock units (“RSUs”), performance-based stock units (“PSUs”), restricted stock, stock appreciation rights (“SARs”) and stock options. </w:t>
      </w:r>
      <w:r>
        <w:rPr>
          <w:rFonts w:ascii="Times New Roman;serif" w:hAnsi="Times New Roman;serif"/>
          <w:b w:val="false"/>
          <w:color w:val="000000"/>
          <w:sz w:val="20"/>
        </w:rPr>
        <w:t>For RSUs, the value of the instrument is measured at the grant date as the fair value of the underlying common stock and expensed as stock-based compensation expense over the vesting term. For PSUs, the expense is measured at the grant date similar to an RSU and expensed as stock-based compensation over the vesting term if the performance targets are considered probable of being achieved. For People Incorporated restricted stock, which was forfeited on January 13, 2025, a lattice model was originally used to estimate the fair value of the award which was based on the satisfaction of the Company’s stock price targets. See “</w:t>
      </w:r>
      <w:hyperlink w:anchor="i6619b59be68b4f7a9428d08547de7a6a_88">
        <w:r>
          <w:rPr>
            <w:rStyle w:val="InternetLink"/>
            <w:rFonts w:ascii="Times New Roman;serif" w:hAnsi="Times New Roman;serif"/>
            <w:b w:val="false"/>
            <w:color w:val="0000FF"/>
            <w:sz w:val="20"/>
            <w:u w:val="single"/>
          </w:rPr>
          <w:t>Note 10—Stock-Based Compensation</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 xml:space="preserve">for a discussion of the forfeiture of the People Incorporated restricted stock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historically the principal form of equity awards to the employees and management of certain of our subsidiaries have been SARs denominated in the equity of the relevant subsidiary of the Company, certain subsidiaries have recently had their equity programs updated to award RSUs, settleable in the Company’s stock. In April of 2025, People Inc.’s outstanding stock-based awards that were denominated in the equity of People Inc. were converted into People Incorporated RSUs. As of December 31, 2025, Vivian Health is currently our only subsidiary who provide equity awards in the form of SARs. The value of SARs is tied to the value of the common stock of Vivian Health. Accordingly, these interests only have value to the extent that Vivian Health appreciates in value above the initial value utilized to determine the exercise price and these interests can have substantial value in the event of significant appreciation. The grant date value of these SARs is measured at grant date, using a Black-Scholes option pricing model and, for those with a market condition, a lattice model, at fair value and is expensed over the vesting term.</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The Company estimates the fair value of stock options upon the grant or modification date using a Black-Scholes option pricing model. No stock options were issued by the Company in the years ended </w:t>
      </w:r>
      <w:r>
        <w:rPr>
          <w:rFonts w:ascii="Times New Roman;serif" w:hAnsi="Times New Roman;serif"/>
          <w:b w:val="false"/>
          <w:color w:val="000000"/>
          <w:sz w:val="20"/>
        </w:rPr>
        <w:t>December 31, 2025, 2024 and 2023</w:t>
      </w:r>
      <w:r>
        <w:rPr>
          <w:rFonts w:ascii="Times New Roman;serif" w:hAnsi="Times New Roman;serif"/>
          <w:b w:val="false"/>
          <w:color w:val="000000"/>
          <w:sz w:val="20"/>
          <w:shd w:fill="FFFFFF" w:val="clear"/>
        </w:rPr>
        <w: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Investments in Equity Securities Without Readily Determinable Fair Values</w:t>
      </w:r>
    </w:p>
    <w:p>
      <w:pPr>
        <w:pStyle w:val="TextBody"/>
        <w:bidi w:val="0"/>
        <w:spacing w:lineRule="auto" w:line="288" w:before="0" w:after="240"/>
        <w:jc w:val="left"/>
        <w:rPr/>
      </w:pPr>
      <w:r>
        <w:rPr>
          <w:rFonts w:ascii="Times New Roman;serif" w:hAnsi="Times New Roman;serif"/>
          <w:b w:val="false"/>
          <w:color w:val="000000"/>
          <w:sz w:val="20"/>
        </w:rPr>
        <w:t xml:space="preserve">The Company’s equity securities, other than those of its consolidated subsidiaries and those accounted for under the equity method, are accounted for at fair value under the measurement alternative in accordance with ASC Subtopic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with any changes to fair value recognized in “Other income, net” in the statement of operations each reporting period. Under the measurement alternative, equity investments without readily determinable fair values are carried at cost minus impairment, if any, plus or minus changes resulting from observable price changes in orderly transactions for identical or similar securities of the same issuer; fair value is generally determined based on a market approach as of the transaction date. A security will be considered identical or similar if it has identical or similar rights to the equity securities held by the Company. The Company reviews its investments in equity securities without readily determinable fair values for impairment each reporting period when there are qualitative factors or events that indicate possible impairment. Factors the Company considers in making this determination include negative changes in industry and market conditions, financial performance, business prospects, and other relevant events and factors. When indicators of impairment exist, the Company prepares quantitative assessments of the fair value of its investments in equity securities, which require judgment and the use of estimates. When the Company’s assessment indicates that the fair value of the investment is below its carrying value, the Company writes down the investment to its fair value and records the corresponding charge in “Other income, net” in the statement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equity securities without readily determinable fair values is $409.2 million and $438.5 million at December 31, 2025 and 2024, respectively, which is included in “Long-term investments” in the balance sheet.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120"/>
        <w:jc w:val="left"/>
        <w:rPr/>
      </w:pPr>
      <w:r>
        <w:rPr>
          <w:rFonts w:ascii="Times New Roman;serif" w:hAnsi="Times New Roman;serif"/>
          <w:b w:val="false"/>
          <w:color w:val="000000"/>
          <w:sz w:val="20"/>
        </w:rPr>
        <w:t>For a discussion of recent accounting pronouncements, 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120"/>
        <w:jc w:val="left"/>
        <w:rPr/>
      </w:pPr>
      <w:r>
        <w:rPr>
          <w:rFonts w:ascii="Times New Roman;serif" w:hAnsi="Times New Roman;serif"/>
          <w:b/>
          <w:color w:val="000000"/>
          <w:sz w:val="20"/>
        </w:rPr>
        <w:t>Equity Price Risk</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owns 65.8 million common shares of MGM Resorts International (“MGM”), which represents approximately 25.5% of MGM’s common shares outstanding. The Company accounts for its investment in MGM under the equity method of accounting using the fair value option.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cumulative unrealized net pre-tax gain at December 31, 2025 is $1.1 billion. At December 31, 2025 and 2024, the carrying value of the Company’s investment in MGM, which includes the cumulative unrealized pre-tax gains, was $2.4 billion and $2.2 billion, or approximately 33% and 23% of the Company’s consolidated total assets, respectively. A $2.00 increase or decrease in the share price of MGM would result in an unrealized gain or loss, respectively, of $131.6 million. At February 2, 2026, the fair value of the Company’s investment in MGM was $2.2 billion. The Company’s results of operations and financial condition have in the past been and may in the future be materially impacted by increases or decreases in the price of MGM common shares.</w:t>
      </w:r>
    </w:p>
    <w:p>
      <w:pPr>
        <w:pStyle w:val="TextBody"/>
        <w:bidi w:val="0"/>
        <w:spacing w:lineRule="auto" w:line="288" w:before="120" w:after="120"/>
        <w:ind w:left="0" w:right="0" w:firstLine="270"/>
        <w:jc w:val="left"/>
        <w:rPr/>
      </w:pPr>
      <w:r>
        <w:rPr>
          <w:rFonts w:ascii="Times New Roman;serif" w:hAnsi="Times New Roman;serif"/>
          <w:b w:val="false"/>
          <w:color w:val="000000"/>
          <w:sz w:val="20"/>
        </w:rPr>
        <w:t>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principal amount of the Company’s outstanding debt totals $1.44 billion. The $1.04 billion principal amount of the Term Loan A-1 due May 14, 2030 (“Term Loan A-1”) and the Term Loan B-2 due June 16, 2032 (“Term Loan B-2”) bear interest at variable rates based upon the secured overnight financing rate (“SOFR”).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holds interest rate swaps to manage interest rate risk with a total notional amount of $350 million and which will expire on April 1, 2027 (“Interest Rate Swaps”). The Interest Rate Swaps synthetically convert a portion of the Term Loan B-2 from a variable rate to a fixed rate. People Inc. applies hedge accounting to these contracts. The fair value of the Interest Rate Swaps is determined using discounted cash flows derived from observable market prices, including swap curves, and represents what People Inc. would pay or receive to terminate the swap agreements. People Inc. intends to continue to meet the conditions for hedge accounting, however, if the Interest Rate Swaps were not highly effective in offsetting cash flows attributable to the hedged risk, the changes in the fair value of the Interest Rate Swaps used as hedges could have a significant impact on future results of operations.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SOFR were to increase or decrease by 100 basis points, the combined annual interest expense on the Term Loan A-1 and the Term Loan B-2, net of the impact related to the $350 million in notional amount of Interest Rate Swaps, would increase or decrease by $6.9 million.</w:t>
      </w:r>
    </w:p>
    <w:p>
      <w:pPr>
        <w:pStyle w:val="TextBody"/>
        <w:bidi w:val="0"/>
        <w:spacing w:lineRule="auto" w:line="288" w:before="120" w:after="120"/>
        <w:ind w:left="0" w:right="0" w:firstLine="270"/>
        <w:jc w:val="left"/>
        <w:rPr/>
      </w:pPr>
      <w:r>
        <w:rPr>
          <w:rFonts w:ascii="Times New Roman;serif" w:hAnsi="Times New Roman;serif"/>
          <w:b w:val="false"/>
          <w:color w:val="000000"/>
          <w:sz w:val="20"/>
        </w:rPr>
        <w:t>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and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to the financial statements included in “</w:t>
      </w:r>
      <w:hyperlink w:anchor="i6619b59be68b4f7a9428d08547de7a6a_25">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financial operations and operating results are principally derived from operations in the U.S.; the Company’s foreign operations are primarily in various jurisdictions within the European Union and the United Kingdom. The Company has exposure to foreign currency exchange risk related to its foreign subsidiaries that transact business in a functional currency other than the U.S. dollar. As a result, as foreign currency exchange rates fluctuate, the translation of the statement of operations of the Company’s international businesses into U.S. dollars affects year-over-year comparability of operating results. The Company’s exposure to foreign currency exchange risk and translation impacts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People Incorporated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 of People Incorporated and subsidiaries (the Company) as of December 31, 2025 and 2024, the related consolidated statements of operations, comprehensive operations, shareholders’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240"/>
        <w:ind w:left="0" w:right="0" w:firstLine="450"/>
        <w:jc w:val="both"/>
        <w:rPr/>
      </w:pPr>
      <w:r>
        <w:rPr/>
      </w:r>
    </w:p>
    <w:p>
      <w:pPr>
        <w:pStyle w:val="TextBody"/>
        <w:bidi w:val="0"/>
        <w:spacing w:before="0" w:after="240"/>
        <w:ind w:left="0" w:right="0" w:firstLine="450"/>
        <w:jc w:val="both"/>
        <w:rPr/>
      </w:pPr>
      <w:r>
        <w:rPr/>
      </w:r>
    </w:p>
    <w:p>
      <w:pPr>
        <w:pStyle w:val="TextBody"/>
        <w:bidi w:val="0"/>
        <w:spacing w:before="0" w:after="240"/>
        <w:ind w:left="0" w:right="0" w:firstLine="450"/>
        <w:jc w:val="both"/>
        <w:rPr/>
      </w:pPr>
      <w:r>
        <w:rPr/>
      </w:r>
    </w:p>
    <w:p>
      <w:pPr>
        <w:pStyle w:val="TextBody"/>
        <w:bidi w:val="0"/>
        <w:spacing w:before="0" w:after="240"/>
        <w:ind w:left="0" w:right="0" w:firstLine="450"/>
        <w:jc w:val="both"/>
        <w:rPr/>
      </w:pPr>
      <w:r>
        <w:rPr/>
      </w:r>
    </w:p>
    <w:p>
      <w:pPr>
        <w:pStyle w:val="TextBody"/>
        <w:bidi w:val="0"/>
        <w:spacing w:before="0" w:after="240"/>
        <w:ind w:left="0" w:right="0" w:firstLine="450"/>
        <w:jc w:val="both"/>
        <w:rPr/>
      </w:pPr>
      <w:r>
        <w:rPr/>
      </w:r>
    </w:p>
    <w:p>
      <w:pPr>
        <w:pStyle w:val="TextBody"/>
        <w:bidi w:val="0"/>
        <w:spacing w:before="0" w:after="240"/>
        <w:ind w:left="0" w:right="0" w:firstLine="45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6"/>
        <w:gridCol w:w="402"/>
        <w:gridCol w:w="341"/>
        <w:gridCol w:w="2842"/>
        <w:gridCol w:w="2511"/>
        <w:gridCol w:w="3323"/>
      </w:tblGrid>
      <w:tr>
        <w:trPr/>
        <w:tc>
          <w:tcPr>
            <w:tcW w:w="7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Sufficiency of Audit Evidence Over Revenue</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67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disclosed in Note 2 and Note 9 to the consolidated financial statements, the Company recognized revenue of $1.8 billion. In addition, the Company recognized $806.0 million of revenue for certain businesses that are included within (loss) earnings from discontinued operations, net of tax. The Company’s revenue includes multiple revenue streams and the Company’s process to account for and recognize revenue differs between certain revenue streams.</w:t>
            </w:r>
          </w:p>
          <w:p>
            <w:pPr>
              <w:pStyle w:val="TableContents"/>
              <w:bidi w:val="0"/>
              <w:spacing w:lineRule="auto" w:line="276" w:before="0" w:after="0"/>
              <w:jc w:val="both"/>
              <w:rPr>
                <w:color w:val="000000"/>
              </w:rPr>
            </w:pPr>
            <w:r>
              <w:rPr>
                <w:color w:val="000000"/>
              </w:rPr>
              <w:t> </w:t>
            </w:r>
          </w:p>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Evaluating the sufficiency of audit evidence over revenue was complex and required a high degree of auditor judgment in designing our audit procedures to ensure sufficiency of audit evidence obtained due to the number of revenue streams and the use of multiple processes, including different revenue information technology (“IT”) systems, to account for and recognize revenue. Subjective auditor judgment was required to evaluate that revenue data was complete and accurate due to these varying IT systems and processes.</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67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internal controls over the Company’s revenue recognition processes. This included testing controls over management’s review of manual journal entries and revenue related account reconciliations.</w:t>
            </w:r>
          </w:p>
          <w:p>
            <w:pPr>
              <w:pStyle w:val="TableContents"/>
              <w:bidi w:val="0"/>
              <w:spacing w:before="0" w:after="0"/>
              <w:jc w:val="both"/>
              <w:rPr/>
            </w:pPr>
            <w:r>
              <w:rPr/>
            </w:r>
          </w:p>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included, among other things, testing the completeness and accuracy of revenue data, testing a sample of revenue transactions to third-party documentation and contracts, where applicable, and reviewing the Company’s revenue related account reconciliations, including vouching cash receipts, where applicable. We also evaluated the Company’s disclosures included in Note 2 and Note 9 to the consolidated financial statements. </w:t>
            </w:r>
          </w:p>
          <w:p>
            <w:pPr>
              <w:pStyle w:val="TableContents"/>
              <w:bidi w:val="0"/>
              <w:spacing w:before="0" w:after="0"/>
              <w:jc w:val="both"/>
              <w:rPr/>
            </w:pPr>
            <w:r>
              <w:rPr/>
            </w:r>
          </w:p>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evaluated the sufficiency of audit evidence obtained by assessing the results of procedures performed.</w:t>
            </w:r>
          </w:p>
        </w:tc>
      </w:tr>
    </w:tbl>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pPr>
      <w:r>
        <w:rPr>
          <w:rFonts w:ascii="Times New Roman;serif" w:hAnsi="Times New Roman;serif"/>
          <w:b w:val="false"/>
          <w:color w:val="000000"/>
          <w:sz w:val="20"/>
          <w:shd w:fill="FFFFFF" w:val="clear"/>
        </w:rPr>
        <w:t>February 20, 2026</w:t>
      </w:r>
      <w:r>
        <w:rPr>
          <w:rFonts w:ascii="Times New Roman;serif" w:hAnsi="Times New Roman;serif"/>
          <w:b w:val="false"/>
          <w:color w:val="000000"/>
          <w:sz w:val="20"/>
        </w:rPr>
        <w:t xml:space="preserve">, except for the effects of presenting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Care.com and the Search segment as discontinued operations as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disclosed in Note 1 and 17, the change to the composition of operating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segments disclosed in Note 1, and the recast of the segment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performance measure to reflect the revised definition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Note 9, as to which the date is September 11,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CONSOLIDATED BALANCE SHEET</w:t>
      </w:r>
    </w:p>
    <w:tbl>
      <w:tblPr>
        <w:tblW w:w="10205" w:type="dxa"/>
        <w:jc w:val="center"/>
        <w:tblInd w:w="0" w:type="dxa"/>
        <w:tblLayout w:type="fixed"/>
        <w:tblCellMar>
          <w:top w:w="28" w:type="dxa"/>
          <w:left w:w="28" w:type="dxa"/>
          <w:bottom w:w="28" w:type="dxa"/>
          <w:right w:w="28" w:type="dxa"/>
        </w:tblCellMar>
      </w:tblPr>
      <w:tblGrid>
        <w:gridCol w:w="2850"/>
        <w:gridCol w:w="2202"/>
        <w:gridCol w:w="2228"/>
        <w:gridCol w:w="210"/>
        <w:gridCol w:w="935"/>
        <w:gridCol w:w="116"/>
        <w:gridCol w:w="116"/>
        <w:gridCol w:w="116"/>
        <w:gridCol w:w="116"/>
        <w:gridCol w:w="210"/>
        <w:gridCol w:w="935"/>
        <w:gridCol w:w="171"/>
      </w:tblGrid>
      <w:tr>
        <w:trPr/>
        <w:tc>
          <w:tcPr>
            <w:tcW w:w="285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amounts)</w:t>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416,979 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598,890 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1,544,749 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2,485,036 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Buildings, land, equipment, leasehold improvements and capitalized software, net </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1,508,030 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MGM Resorts International</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429,395 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1,967,856 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9,744,911 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trade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422,309 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886,192 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1,401,324 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1,435,007 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authorized 1,600,000 shares; 83,581 and 84,831 shares issued and 71,555 and 80,481 shares outstanding at December 31, 2025 and 2024, respectively</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authorized 400,000 shares; 5,789 shares issued and outstanding at December 31, 2025 and 2024</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5,959,692 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12,026 and 4,350 shares at December 31, 2025 and 2024, respectively</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People Incorporated shareholders’ equity</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5,577,898 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701,075 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4,763,759 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6,278,973 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9,744,911 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pPr>
      <w:r>
        <w:rPr>
          <w:rFonts w:ascii="Times New Roman;serif" w:hAnsi="Times New Roman;serif"/>
          <w:b w:val="false"/>
          <w:color w:val="000000"/>
          <w:sz w:val="16"/>
        </w:rPr>
        <w:t xml:space="preserve">The accompanying </w:t>
      </w:r>
      <w:hyperlink w:anchor="i6619b59be68b4f7a9428d08547de7a6a_49">
        <w:r>
          <w:rPr>
            <w:rStyle w:val="InternetLink"/>
            <w:rFonts w:ascii="Times New Roman;serif" w:hAnsi="Times New Roman;serif"/>
            <w:b w:val="false"/>
            <w:color w:val="0000FF"/>
            <w:sz w:val="16"/>
            <w:u w:val="single"/>
          </w:rPr>
          <w:t>Notes to Consolidated Financial Statements</w:t>
        </w:r>
      </w:hyperlink>
      <w:r>
        <w:rPr>
          <w:color w:val="000000"/>
        </w:rPr>
        <w:t xml:space="preserve"> </w:t>
      </w:r>
      <w:r>
        <w:rPr>
          <w:rFonts w:ascii="Times New Roman;serif" w:hAnsi="Times New Roman;serif"/>
          <w:b w:val="false"/>
          <w:color w:val="000000"/>
          <w:sz w:val="16"/>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tbl>
      <w:tblPr>
        <w:tblW w:w="10205" w:type="dxa"/>
        <w:jc w:val="left"/>
        <w:tblInd w:w="0" w:type="dxa"/>
        <w:tblLayout w:type="fixed"/>
        <w:tblCellMar>
          <w:top w:w="28" w:type="dxa"/>
          <w:left w:w="28" w:type="dxa"/>
          <w:bottom w:w="28" w:type="dxa"/>
          <w:right w:w="28" w:type="dxa"/>
        </w:tblCellMar>
      </w:tblPr>
      <w:tblGrid>
        <w:gridCol w:w="2042"/>
        <w:gridCol w:w="1778"/>
        <w:gridCol w:w="1797"/>
        <w:gridCol w:w="211"/>
        <w:gridCol w:w="976"/>
        <w:gridCol w:w="109"/>
        <w:gridCol w:w="109"/>
        <w:gridCol w:w="109"/>
        <w:gridCol w:w="109"/>
        <w:gridCol w:w="211"/>
        <w:gridCol w:w="976"/>
        <w:gridCol w:w="109"/>
        <w:gridCol w:w="109"/>
        <w:gridCol w:w="109"/>
        <w:gridCol w:w="109"/>
        <w:gridCol w:w="211"/>
        <w:gridCol w:w="976"/>
        <w:gridCol w:w="155"/>
      </w:tblGrid>
      <w:tr>
        <w:trPr/>
        <w:tc>
          <w:tcPr>
            <w:tcW w:w="204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from continuing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earnings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earnings attributable to People Incorporated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from continuing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attributable to People Incorporated common stock and Class B common stock shareholders:</w:t>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center"/>
        <w:rPr/>
      </w:pPr>
      <w:r>
        <w:rPr>
          <w:rFonts w:ascii="Times New Roman;serif" w:hAnsi="Times New Roman;serif"/>
          <w:b w:val="false"/>
          <w:color w:val="000000"/>
          <w:sz w:val="20"/>
        </w:rPr>
        <w:t xml:space="preserve">The accompanying </w:t>
      </w:r>
      <w:hyperlink w:anchor="i6619b59be68b4f7a9428d08547de7a6a_4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CONSOLIDATED STATEMENT OF COMPREHENSIVE OPERATIONS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03"/>
        <w:gridCol w:w="1901"/>
        <w:gridCol w:w="1842"/>
        <w:gridCol w:w="211"/>
        <w:gridCol w:w="886"/>
        <w:gridCol w:w="109"/>
        <w:gridCol w:w="109"/>
        <w:gridCol w:w="109"/>
        <w:gridCol w:w="109"/>
        <w:gridCol w:w="211"/>
        <w:gridCol w:w="886"/>
        <w:gridCol w:w="109"/>
        <w:gridCol w:w="109"/>
        <w:gridCol w:w="109"/>
        <w:gridCol w:w="109"/>
        <w:gridCol w:w="211"/>
        <w:gridCol w:w="826"/>
        <w:gridCol w:w="156"/>
      </w:tblGrid>
      <w:tr>
        <w:trPr/>
        <w:tc>
          <w:tcPr>
            <w:tcW w:w="2203"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foreign currency translation adjustment </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gains on interest rate swaps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available-for-sale marketable debt securities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income taxes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net of income taxes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comprehensive (income) loss attributable to noncontrolling interests: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attributable to noncontrolling interests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People Incorporated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80" w:after="120"/>
        <w:jc w:val="center"/>
        <w:rPr/>
      </w:pPr>
      <w:r>
        <w:rPr>
          <w:rFonts w:ascii="Times New Roman;serif" w:hAnsi="Times New Roman;serif"/>
          <w:b w:val="false"/>
          <w:color w:val="000000"/>
          <w:sz w:val="20"/>
        </w:rPr>
        <w:t xml:space="preserve">The accompanying </w:t>
      </w:r>
      <w:hyperlink w:anchor="i6619b59be68b4f7a9428d08547de7a6a_4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CONSOLIDATED STATEMENT OF SHAREHOLDERS’ EQUITY</w:t>
      </w:r>
    </w:p>
    <w:tbl>
      <w:tblPr>
        <w:tblW w:w="16488" w:type="dxa"/>
        <w:jc w:val="left"/>
        <w:tblInd w:w="0" w:type="dxa"/>
        <w:tblLayout w:type="fixed"/>
        <w:tblCellMar>
          <w:top w:w="28" w:type="dxa"/>
          <w:left w:w="28" w:type="dxa"/>
          <w:bottom w:w="28" w:type="dxa"/>
          <w:right w:w="28" w:type="dxa"/>
        </w:tblCellMar>
      </w:tblPr>
      <w:tblGrid>
        <w:gridCol w:w="634"/>
        <w:gridCol w:w="268"/>
        <w:gridCol w:w="269"/>
        <w:gridCol w:w="196"/>
        <w:gridCol w:w="646"/>
        <w:gridCol w:w="109"/>
        <w:gridCol w:w="109"/>
        <w:gridCol w:w="109"/>
        <w:gridCol w:w="109"/>
        <w:gridCol w:w="109"/>
        <w:gridCol w:w="109"/>
        <w:gridCol w:w="109"/>
        <w:gridCol w:w="196"/>
        <w:gridCol w:w="241"/>
        <w:gridCol w:w="109"/>
        <w:gridCol w:w="109"/>
        <w:gridCol w:w="109"/>
        <w:gridCol w:w="109"/>
        <w:gridCol w:w="323"/>
        <w:gridCol w:w="323"/>
        <w:gridCol w:w="151"/>
        <w:gridCol w:w="109"/>
        <w:gridCol w:w="109"/>
        <w:gridCol w:w="109"/>
        <w:gridCol w:w="196"/>
        <w:gridCol w:w="241"/>
        <w:gridCol w:w="109"/>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871"/>
        <w:gridCol w:w="109"/>
        <w:gridCol w:w="327"/>
        <w:gridCol w:w="196"/>
        <w:gridCol w:w="736"/>
        <w:gridCol w:w="109"/>
        <w:gridCol w:w="327"/>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w:t>
              <w:b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Common 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People Incorporated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1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stock-based awards, net of withholding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Angi Inc. common stock pursuant to stock-based awards, net of withholding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Angi Inc. treasury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noncontrolling interests to redemption amount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the liquidation value of Vivian Health preferred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6,077,861 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stock-based awards, net of withholding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Angi Inc. common stock pursuant to stock-based awards, net of withholding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Angi Inc. treasury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noncontrolling interests to redemption amount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the liquidation value of Vivian Health preferred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84,831 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40" w:after="283"/>
        <w:jc w:val="center"/>
        <w:rPr/>
      </w:pPr>
      <w:r>
        <w:rPr>
          <w:rFonts w:ascii="Times New Roman;serif" w:hAnsi="Times New Roman;serif"/>
          <w:b w:val="false"/>
          <w:color w:val="000000"/>
          <w:sz w:val="20"/>
        </w:rPr>
        <w:t xml:space="preserve">The accompanying </w:t>
      </w:r>
      <w:hyperlink w:anchor="i6619b59be68b4f7a9428d08547de7a6a_4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CONSOLIDATED STATEMENT OF SHAREHOLDERS’ EQUITY (CONTINUED)</w:t>
      </w:r>
    </w:p>
    <w:tbl>
      <w:tblPr>
        <w:tblW w:w="16254" w:type="dxa"/>
        <w:jc w:val="left"/>
        <w:tblInd w:w="0" w:type="dxa"/>
        <w:tblLayout w:type="fixed"/>
        <w:tblCellMar>
          <w:top w:w="28" w:type="dxa"/>
          <w:left w:w="28" w:type="dxa"/>
          <w:bottom w:w="28" w:type="dxa"/>
          <w:right w:w="28" w:type="dxa"/>
        </w:tblCellMar>
      </w:tblPr>
      <w:tblGrid>
        <w:gridCol w:w="634"/>
        <w:gridCol w:w="268"/>
        <w:gridCol w:w="269"/>
        <w:gridCol w:w="196"/>
        <w:gridCol w:w="646"/>
        <w:gridCol w:w="109"/>
        <w:gridCol w:w="109"/>
        <w:gridCol w:w="109"/>
        <w:gridCol w:w="109"/>
        <w:gridCol w:w="109"/>
        <w:gridCol w:w="109"/>
        <w:gridCol w:w="109"/>
        <w:gridCol w:w="196"/>
        <w:gridCol w:w="241"/>
        <w:gridCol w:w="109"/>
        <w:gridCol w:w="109"/>
        <w:gridCol w:w="109"/>
        <w:gridCol w:w="109"/>
        <w:gridCol w:w="323"/>
        <w:gridCol w:w="323"/>
        <w:gridCol w:w="113"/>
        <w:gridCol w:w="109"/>
        <w:gridCol w:w="109"/>
        <w:gridCol w:w="109"/>
        <w:gridCol w:w="196"/>
        <w:gridCol w:w="241"/>
        <w:gridCol w:w="109"/>
        <w:gridCol w:w="109"/>
        <w:gridCol w:w="109"/>
        <w:gridCol w:w="109"/>
        <w:gridCol w:w="333"/>
        <w:gridCol w:w="223"/>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871"/>
        <w:gridCol w:w="109"/>
        <w:gridCol w:w="327"/>
        <w:gridCol w:w="196"/>
        <w:gridCol w:w="736"/>
        <w:gridCol w:w="109"/>
        <w:gridCol w:w="327"/>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w:t>
              <w:b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People Incorporated Shareholders’</w:t>
              <w:br/>
              <w:t>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Total </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8"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net of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stock-based awards, net of withholding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the Company’s former CEO’s restricted common stock award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the Company’s transfer of Angi Inc. Class B shares to its former CEO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Angi Inc. Class A common stock pursuant to stock-based awards, net of withholding taxes, prior to the Distribution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Angi Inc. treasury stock prior to the Distribution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noncontrolling interests to redemption amount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the liquidation value of Vivian Health preferred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of the Company’s investment in Angi Inc.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Angi Inc.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83,581 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Times New Roman;serif" w:hAnsi="Times New Roman;serif"/>
          <w:b w:val="false"/>
          <w:color w:val="000000"/>
          <w:sz w:val="20"/>
        </w:rPr>
        <w:t xml:space="preserve">The accompanying </w:t>
      </w:r>
      <w:hyperlink w:anchor="i6619b59be68b4f7a9428d08547de7a6a_4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tbl>
      <w:tblPr>
        <w:tblW w:w="10205" w:type="dxa"/>
        <w:jc w:val="center"/>
        <w:tblInd w:w="0" w:type="dxa"/>
        <w:tblLayout w:type="fixed"/>
        <w:tblCellMar>
          <w:top w:w="28" w:type="dxa"/>
          <w:left w:w="28" w:type="dxa"/>
          <w:bottom w:w="28" w:type="dxa"/>
          <w:right w:w="28" w:type="dxa"/>
        </w:tblCellMar>
      </w:tblPr>
      <w:tblGrid>
        <w:gridCol w:w="2224"/>
        <w:gridCol w:w="1920"/>
        <w:gridCol w:w="1926"/>
        <w:gridCol w:w="196"/>
        <w:gridCol w:w="777"/>
        <w:gridCol w:w="109"/>
        <w:gridCol w:w="109"/>
        <w:gridCol w:w="109"/>
        <w:gridCol w:w="109"/>
        <w:gridCol w:w="196"/>
        <w:gridCol w:w="871"/>
        <w:gridCol w:w="109"/>
        <w:gridCol w:w="109"/>
        <w:gridCol w:w="109"/>
        <w:gridCol w:w="109"/>
        <w:gridCol w:w="196"/>
        <w:gridCol w:w="871"/>
        <w:gridCol w:w="156"/>
      </w:tblGrid>
      <w:tr>
        <w:trPr/>
        <w:tc>
          <w:tcPr>
            <w:tcW w:w="222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 attributable to continuing operations: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earnings from discontinued operations, net of taxes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(loss) attributable to continuing operations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(loss) attributable to continuing operations to net cash provided by (used in) operating activities attributable to continuing operations: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(including right-of-use asset impairments)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related to the allocation of a disputed gain on a real estate transaction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losses (gains) on sales of investments and businesses (including unrealized losses on investments)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in MGM Resorts International</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amendments and early terminations of lease agreements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the estimated fair value of a warrant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Changes in assets and liabilities, net of effects of acquisitions and dispositions: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receivable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 attributable to continuing operations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 attributable to continuing operations:</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Angi Inc. cash in the Distribution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MGM Resorts International common shares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the sales of investments and businesses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a portion of the retirement investment fund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retirement investment fund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proceeds from sales of fixed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debt securities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debt securities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collections of notes receivable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 attributable to continuing operations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 attributable to continuing operations:</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Term Loans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Term Loans refinancing</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the 2032 Notes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deferred financing costs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behalf of employees on net settled stock-based awards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 attributable to continuing operations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(used in) provided by continuing operations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attributable to discontinued operations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attributable to discontinued operations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attributable to discontinued operations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provided by discontinued operations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and cash equivalents and restricted cash</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1,306,241 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pPr>
      <w:r>
        <w:rPr>
          <w:rFonts w:ascii="Times New Roman;serif" w:hAnsi="Times New Roman;serif"/>
          <w:b w:val="false"/>
          <w:color w:val="000000"/>
          <w:sz w:val="18"/>
        </w:rPr>
        <w:t xml:space="preserve">The accompanying </w:t>
      </w:r>
      <w:hyperlink w:anchor="i6619b59be68b4f7a9428d08547de7a6a_49">
        <w:r>
          <w:rPr>
            <w:rStyle w:val="InternetLink"/>
            <w:rFonts w:ascii="Times New Roman;serif" w:hAnsi="Times New Roman;serif"/>
            <w:b w:val="false"/>
            <w:color w:val="0000FF"/>
            <w:sz w:val="18"/>
            <w:u w:val="single"/>
          </w:rPr>
          <w:t>Notes to Consolidated Financial Statements</w:t>
        </w:r>
      </w:hyperlink>
      <w:r>
        <w:rPr>
          <w:color w:val="000000"/>
        </w:rPr>
        <w:t xml:space="preserve"> </w:t>
      </w:r>
      <w:r>
        <w:rPr>
          <w:rFonts w:ascii="Times New Roman;serif" w:hAnsi="Times New Roman;serif"/>
          <w:b w:val="false"/>
          <w:color w:val="000000"/>
          <w:sz w:val="18"/>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IAC INC. AND SUBSIDIARIES</w:t>
      </w:r>
    </w:p>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56"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IAC Inc. changed its name to People Incorporated (NASDAQ: PPLI), which is the owner of publisher, People Inc. Group. People Incorporated also holds a significant minority stake in MGM Resorts International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herein, “People Incorporated,” the “Company,” “we,” “our,” “us” and other similar terms refer to People Incorporated and its subsidiaries (unless the context requires otherwise).</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People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2026, Dotdash Meredith Inc. amended and restated its certificate of incorporation to change its name to People Inc. Group. On July 31, 2025, then Dotdash Meredith Inc. was rebranded “People Inc.” and is referred to as such throughout this report (unless the context requires otherwise). As used herein, “People Inc.” refers to People Inc. Group, (formerly Dotdash Meredith Inc.). </w:t>
      </w:r>
    </w:p>
    <w:p>
      <w:pPr>
        <w:pStyle w:val="TextBody"/>
        <w:bidi w:val="0"/>
        <w:spacing w:lineRule="auto" w:line="288" w:before="0" w:after="240"/>
        <w:ind w:left="0" w:right="0" w:firstLine="450"/>
        <w:jc w:val="left"/>
        <w:rPr/>
      </w:pPr>
      <w:r>
        <w:rPr>
          <w:rFonts w:ascii="Times New Roman;serif" w:hAnsi="Times New Roman;serif"/>
          <w:b w:val="false"/>
          <w:color w:val="000000"/>
          <w:sz w:val="20"/>
        </w:rPr>
        <w:t>People Inc. is one of the largest digital and print publishers in America and is committed to content</w:t>
      </w:r>
      <w:r>
        <w:rPr>
          <w:color w:val="000000"/>
        </w:rPr>
        <w:t>—</w:t>
      </w:r>
      <w:r>
        <w:rPr>
          <w:rFonts w:ascii="Times New Roman;serif" w:hAnsi="Times New Roman;serif"/>
          <w:b w:val="false"/>
          <w:color w:val="000000"/>
          <w:sz w:val="20"/>
        </w:rPr>
        <w:t>made by people for people</w:t>
      </w:r>
      <w:r>
        <w:rPr>
          <w:color w:val="000000"/>
        </w:rPr>
        <w:t>—</w:t>
      </w:r>
      <w:r>
        <w:rPr>
          <w:rFonts w:ascii="Times New Roman;serif" w:hAnsi="Times New Roman;serif"/>
          <w:b w:val="false"/>
          <w:color w:val="000000"/>
          <w:sz w:val="20"/>
        </w:rPr>
        <w:t>that delights, teaches, inspires and entertains. More than 175 million people trust People Inc. each month to help them make decisions, take action and find inspiration. People Inc.’s over 40 iconic brands include PEOPLE, Better Homes &amp; Gardens, Verywell, Food &amp; Wine, Travel + Leisure, Allrecipes, REAL SIMPLE, Investopedia and Southern Living.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has two operating segments: (i) Digital, which includes its digital, mobile and licensing operations; and (ii) Print, which includes its magazine subscription and newsstand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People Inc. Change to Composition of Operating Segments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Financial information for both the People Inc. Print and Digital segments has been recast to reflect this change for all periods presented.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Shutdown of Search Segment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received a notice of non-renewal (the “Notice”) from Google Inc.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Sale of Care.com </w:t>
      </w:r>
    </w:p>
    <w:p>
      <w:pPr>
        <w:pStyle w:val="TextBody"/>
        <w:bidi w:val="0"/>
        <w:spacing w:lineRule="auto" w:line="276"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the sale of its wholly-owned subsidiary, Care.com, for net proceeds of $300.2 million. In July 2026, the remaining $4.5 million of cash proceeds was received by the Company. As a result of the transaction, the consolidated operations of Care.com are presented as discontinued operations within the Company’s consolidated financial statements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Angi Inc. Distribution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See “</w:t>
      </w:r>
      <w:hyperlink w:anchor="i6619b59be68b4f7a9428d08547de7a6a_115">
        <w:r>
          <w:rPr>
            <w:rStyle w:val="InternetLink"/>
            <w:rFonts w:ascii="Times New Roman;serif" w:hAnsi="Times New Roman;serif"/>
            <w:b w:val="false"/>
            <w:color w:val="0000FF"/>
            <w:sz w:val="20"/>
            <w:u w:val="single"/>
          </w:rPr>
          <w:t>Note 17—Discontinued Operations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450"/>
        <w:jc w:val="left"/>
        <w:rPr/>
      </w:pPr>
      <w:r>
        <w:rPr/>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Emerging &amp; Other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&amp; Other primarily includes: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Vivian Health, a platform to efficiently connect healthcare professionals with job opportunities;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Daily Beast, a website dedicated to news, commentary, culture and entertainment that publishes original reporting and opinion from its roster of full-time journalists and contributors;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IAC Films, a provider of producer services for feature films, primarily for initial sale and distribution through theatrical releases and video streaming services in the United States (“U.S.”) and internationally;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Mosaic Group, a former developer and provider of global subscription mobile applications, for periods prior to the sale of its assets on February 15, 2024, which was accounted for as a sale of a business, for approximately $160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(referred to herein as “financial statements”) in accordance with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entities comprising the Company have been eliminated.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Management of the Company is required to make certain estimates, judgments and assumptions, if applicable, during the preparation of its financial statements in accordance with GAAP. These estimates, judgments and assumptions affect the amounts reported in the financial statements and the disclosures in the accompanying notes. Actual results could differ from these estimates.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judgments and assumptions, if applicable, including those related to: the fair values of cash equivalents; the carrying value of accounts receivable, including the determination of the allowance for credit losses; the recoverability of right-of-use assets (“ROU assets”); the useful lives and recoverability of buildings, equipment, leasehold improvements and capitalized software and definite-lived intangible assets; the recoverability of goodwill and indefinite-lived intangible assets; the fair value of equity securities without readily determinable fair values; the fair value of interest rate swaps; contingencies; unrecognized tax benefits; the valuation allowance for deferred income tax assets; pension and post-retirement benefit plan assets and liabilities, including actuarial assumptions regarding discount rates, expected returns on plan assets, inflation and healthcare costs; and the fair value of and forfeiture rates for stock-based awards, among others. The Company bases its estimates, judgments and assumptions on historical experience, its forecasts and budgets and other factors that the Company considers relevant.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Revenue Recognition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a contract with a customer when it has approval and commitment from all authorized parties, the rights of the parties and payment terms are identified, the contract has commercial substance and collectability of the consideration is probable. Revenue is recognized when control of the promised services or goods is transferred to the Company’s customers and in an amount that reflects the consideration the Company expects to be entitled to in exchange for those services or goods. </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Company’s disaggregated revenue disclosures are presented in “</w:t>
      </w:r>
      <w:hyperlink w:anchor="i6619b59be68b4f7a9428d08547de7a6a_82">
        <w:r>
          <w:rPr>
            <w:rStyle w:val="InternetLink"/>
            <w:rFonts w:ascii="Times New Roman;serif" w:hAnsi="Times New Roman;serif"/>
            <w:b w:val="false"/>
            <w:color w:val="0000FF"/>
            <w:sz w:val="20"/>
            <w:u w:val="single"/>
          </w:rPr>
          <w:t>Note 9—Segment Information</w:t>
        </w:r>
      </w:hyperlink>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Transaction Price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objective of determining the transaction price is to estimate the amount of consideration the Company is due in exchange for its services or goods, including amounts that are variable. Contracts may include sales incentives, such as volume discounts or rebates, which are accounted for as variable consideration when estimating the transaction price. The Company also maintains a liability for potential future refunds and customer credits, which is recorded as a reduction of revenue. All estimates of variable consideration are based upon historical experience and customer trends. The Company determines the total transaction price, including an estimate of any variable consideration, at contract inception and reassesses this estimate each reporting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excludes from the measurement of transaction price all taxes assessed by governmental authorities that are both (i) imposed on and concurrent with a specific revenue-producing transaction and (ii) collected from customers. Accordingly, such tax amounts are not included as a component of revenue or cost of revenue.</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Arrangements with Multiple Performance Obligations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multiple performance obligations. For such arrangements, the Company allocates revenue to each performance obligation based on its relative standalone selling price. The Company determines standalone selling prices based on the prices charged to customers, which are directly observable, or an estimate if not directly observable.</w:t>
      </w:r>
    </w:p>
    <w:p>
      <w:pPr>
        <w:pStyle w:val="TextBody"/>
        <w:bidi w:val="0"/>
        <w:spacing w:lineRule="auto" w:line="276"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Practical Expedients and Exemptions</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For contracts that have an original duration of one year or less, the Company uses the practical expedient available under Financial Accounting Standards Board (“FASB”)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applicable to such contracts and does not consider the time value of money.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tied to sales-based or usage-based royalties,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 to expense commissions paid pursuant to sales incentive programs as incurred where the anticipated customer relationship period is one year or less as noted below.</w:t>
      </w:r>
    </w:p>
    <w:p>
      <w:pPr>
        <w:pStyle w:val="TextBody"/>
        <w:bidi w:val="0"/>
        <w:spacing w:before="0" w:after="0"/>
        <w:ind w:left="0" w:right="0" w:firstLine="450"/>
        <w:jc w:val="left"/>
        <w:rPr/>
      </w:pPr>
      <w:r>
        <w:rPr/>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Costs to Obtain a Contract with a Customer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a portfolio approach to assess the accounting treatment of the incremental costs to obtain a contract with a customer. The Company recognizes an asset if we expect to recover those costs. To the extent that these costs are capitalized, the resultant asset is amortized on a systematic basis consistent with the pattern of the transfer of the services to which the asset relates. The Company has determined that certain costs, primarily commissions paid to employees pursuant to certain sales incentive programs and, for periods prior to the sale of its assets on February 15, 2024, mobile app store fees at Mosaic, meet the requirements to be capitalized as a cost of obtaining a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Commissions Paid to Employees Pursuant to Sales Incentive Programs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commissions paid to employees pursuant to certain sales incentive programs meet the requirements to be capitalized as the incremental costs to obtain a contract with a customer. When customer renewals are expected and the renewal commission is not commensurate with the initial commission, the average customer life includes renewal periods. Capitalized commissions paid to employees pursuant to these sales incentive programs are amortized over the estimated customer relationship period and are included in “Selling and marketing expense” in the statement of operations. The Company calculates the anticipated customer relationship period as the average customer life, which is based on historical data.</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sales incentive programs where the anticipated customer relationship period is one year or less, the Company has elected the practical expedient to expense the commissions as incurred.</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Summary of Costs to Obtain a Contract with a Customer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capitalized sales commissions at December 31, 2025 and 2024:</w:t>
      </w:r>
    </w:p>
    <w:tbl>
      <w:tblPr>
        <w:tblW w:w="2830" w:type="dxa"/>
        <w:jc w:val="left"/>
        <w:tblInd w:w="0" w:type="dxa"/>
        <w:tblLayout w:type="fixed"/>
        <w:tblCellMar>
          <w:top w:w="28" w:type="dxa"/>
          <w:left w:w="28" w:type="dxa"/>
          <w:bottom w:w="28" w:type="dxa"/>
          <w:right w:w="28" w:type="dxa"/>
        </w:tblCellMar>
      </w:tblPr>
      <w:tblGrid>
        <w:gridCol w:w="396"/>
        <w:gridCol w:w="348"/>
        <w:gridCol w:w="352"/>
        <w:gridCol w:w="211"/>
        <w:gridCol w:w="361"/>
        <w:gridCol w:w="109"/>
        <w:gridCol w:w="109"/>
        <w:gridCol w:w="109"/>
        <w:gridCol w:w="109"/>
        <w:gridCol w:w="211"/>
        <w:gridCol w:w="361"/>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each of the years ended December 31, 2025 and 2024, the Company recognized expense of $0.1 million related to the amortization of capitalized sales commissions. There was no expense related to the amortization of sales commissions recognized during the year ended December 31, 2023.</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sale of its assets on February 15, 2024, the Company also recognized expense related to the amortization of capitalized app store fees at Mosaic, which is included in “Cost of revenue” in the statement of operations. During the years ended December 31, 2024 and 2023, the Company recognized expense of $3.1 million and $27.0 million, respectively.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current and non-current capitalized costs to obtain a contract with a customer are included in “Other current assets” and “Other non-current assets,” respectively, in the balance sheet.</w:t>
      </w:r>
    </w:p>
    <w:p>
      <w:pPr>
        <w:pStyle w:val="TextBody"/>
        <w:bidi w:val="0"/>
        <w:spacing w:lineRule="auto" w:line="276"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Commissions Paid to Third-Party Agents for the Sales of Magazine Subscriptions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uses third-party agents to obtain certain magazine subscribers. The agents are paid a commission, which can be as much as the subscription price charged to the subscriber. People Inc. subscriptions do not have substantive termination penalties; therefore, the contract term is determined on an issue-by-issue basis. Accordingly, these commissions do not qualify for capitalization because there is no contract with a customer until a copy is prepared for shipment, at which point these costs are expensed. In the event a subscriber cancels their subscription, People Inc. recognizes a liability to the extent the commission is refundable to the third-party agent. People Inc. expenses additional amounts paid to agents (such as per subscriber bounties) to acquire subscribers as incurred. Expenses related to third-party agent sales of magazine subscriptions are included in “Selling and marketing expense” in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76"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People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revenue consists of digital and print revenue. Digital revenue consists principally of advertising, performance marketing and licensing and other revenue. Print revenue consists principally of subscription, advertising, newsstand, project and other and performance marketing revenue.</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Digital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revenue is primarily related to revenue generated through digital advertisements and intent-based advertising targeting capabilities (D/Cipher+), which are sold directly to advertisers or through advertising agencies and programmatic advertising networks. Performance obligations consist of delivering advertisements with a promised number of actions related to the advertisements, such as impressions or clicks, displaying advertisements for an agreed upon amount of time or providing available advertising space. The price is determined by an agreed-upon pricing model such as CPM (cost-per-1,000 impressions), CPC (cost-per-click) or flat fees.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recognizes revenue over time as performance obligations are satisfied. Revenue is recognized using an output method based on actions delivered or time elapsed depending on the nature of the performance obligation. People Inc. considers the right to receive consideration from a customer to correspond directly with the value to the customer of People Inc.’s performance completed to date. The customer is invoiced in the month following the month that the advertisements are delivered.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marketing revenue includes commissions generated through affiliate commerce, performance marketing services 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Affiliate commerce and performance marketing services partners are invoiced monthly.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Affinity marketing programs are arrangements where People Inc. acts as an agent for both People Inc. and third-party publishers to market and place magazine subscriptions online for which commission revenue is earned when a subscriber name has been provided to the publisher. People Inc. net settles with the third-party publishers monthly.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Licensing and other revenue primarily includes revenue generated through brand and content licensing and similar agreements. Brand licensing generates royalties from long-term trademark licensing agreements with retailers, service providers, publishers and manufacturers. Content licensing royalties are earned from People Inc.’s relationship with Apple News+ as well as other content use and distribution relationships, including utilization in large-language models and other artificial intelligence related activities. Royalties from brand licenses are based on the sale or usage of the branded product, which is recognized over time when the sale or use occurs. Generally, revenues are accrued based on estimated sales and adjusted as actual sales are reported by People Inc.’s partners typically within three months of the initial estimates. Minimum guarantees, if applicable, are generally recognized as revenue over the term of the applicable contract. Royalties from content licenses are recognized as People Inc.’s content is delivered or access to the content is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Print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Subscription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revenue relates to the sale of People Inc.’s magazines, including digital editions. People Inc.’s subscriptions do not have substantive termination penalties; therefore, the contract term is determined on an issue-by-issue basis. Most of People Inc.’s subscription sales are prepaid at the time of order and may be canceled at any time for a refund of the pro rata portion of the initial subscription. Accordingly, the amounts received from prepaid subscriptions are recorded as a customer deposit liability rather than as deferred revenue. Each issue is a distinct performance obligation and revenue is recognized when the publication is sent to the customer.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revenue primarily relates to the sale of advertising in magazines directly to advertisers or through advertising agencies. Revenue is recognized on the magazine issue’s on-sale date, which is the date the magazine is published. The customer is invoiced, net of agency commissions, once the advertisements are published under normal industry trade terms.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Newsstand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Newsstand revenue is related to single copy magazines or bundles of single copy magazines sold to wholesalers for resale on newsstands. Publications sold to magazine wholesalers are sold with the right to receive credit from People Inc. for magazines returned to the wholesaler by retailers. Revenue is recognized based on estimated final sales on the issue’s on-sale date as the date aligns most closely with the date that control is transferred to the wholesaler. Wholesalers are invoiced a percentage of estimated final sales the month after the issue’s initial on-sale date. The previously estimated revenue is adjusted based upon the final sales, which occur when the final amounts are settled under normal industry terms.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Project and Other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Project and other revenue includes revenue streams that are primarily project based and may relate to any one or combination of the following activities: custom publishing, content strategy and development, email marketing, social media, database marketing and search engine optimization. Depending on the contractual arrangement, revenue is recognized either as the purchased advertising is run on third-party platforms, or over the contractual period when the products do not have an alternate use to the Company or its other clients. Payment terms vary based on the nature of the contract.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marketing revenue principally consists of affinity marketing revenue through which People Inc. places magazine subscriptions for third-party publishers. Commissions are earned when a subscriber name has been provided to the publisher and any free trial period is completed, if applicable. People Inc. net settles with these third parties monthly. </w:t>
      </w:r>
    </w:p>
    <w:p>
      <w:pPr>
        <w:pStyle w:val="TextBody"/>
        <w:bidi w:val="0"/>
        <w:spacing w:lineRule="auto" w:line="288" w:before="0" w:after="240"/>
        <w:ind w:left="0" w:right="0" w:firstLine="450"/>
        <w:jc w:val="left"/>
        <w:rPr/>
      </w:pPr>
      <w:r>
        <w:rPr>
          <w:rFonts w:ascii="Times New Roman;serif" w:hAnsi="Times New Roman;serif"/>
          <w:b/>
          <w:i/>
          <w:color w:val="000000"/>
          <w:sz w:val="20"/>
        </w:rPr>
        <w:t>Emerging &amp; Other</w:t>
      </w:r>
      <w:r>
        <w:rPr>
          <w:color w:val="000000"/>
        </w:rPr>
        <w:t xml:space="preserve"> </w:t>
      </w:r>
    </w:p>
    <w:p>
      <w:pPr>
        <w:pStyle w:val="TextBody"/>
        <w:bidi w:val="0"/>
        <w:spacing w:lineRule="auto" w:line="268" w:before="18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Vivian Health revenue consists of subscription and usage revenue, which is generated through recruiting agencies and other employers that seek access to qualified healthcare professionals. Subscription revenue is recognized at the earlier of the full delivery of the promised services or over the length of the subscription period. There is usage revenue when the usage is in excess of the allotted amount included in the subscription; the usage revenue is recognized in the period in which services were delivered.</w:t>
      </w:r>
    </w:p>
    <w:p>
      <w:pPr>
        <w:pStyle w:val="TextBody"/>
        <w:bidi w:val="0"/>
        <w:spacing w:lineRule="auto" w:line="276" w:before="18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Daily Beast revenue consists of advertising revenue, which is generated primarily through display advertisements (sold directly and through programmatic advertising networks), in addition to revenue generated through content licensing, in which licensing royalties are earned from the relationship with Apple News+ as well as other content use and distribution relationships, including utilization in large-language models and other AI related activities. Further, to a lesser extent, subscription revenue and affiliate commerce commission and event sponsorship revenue. Fees related to display advertisements are recognized when an advertisement is displayed.</w:t>
      </w:r>
    </w:p>
    <w:p>
      <w:pPr>
        <w:pStyle w:val="TextBody"/>
        <w:bidi w:val="0"/>
        <w:spacing w:lineRule="auto" w:line="276" w:before="18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of IAC Films is generated primarily through media production and distribution and recognized when control is transferred to the customer to broadcast or exhibit.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18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Mosaic Group revenue for periods prior to its sale on February 14, 2024 primarily consisted of fees paid by subscribers for downloadable mobile applications distributed through the Apple App Store and Google Play Store and fees received directly from consumers, as well as display advertisements. Fees related to subscription downloadable mobile applications were initially deferred and generally recognized either over the term of the subscription period, which was up to one year or at the time of the sale when the software license was delivered. Fees related to display advertisements were recognized when an advertisement was displayed.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Care.com (reflected in discontinued operations)</w:t>
      </w:r>
    </w:p>
    <w:p>
      <w:pPr>
        <w:pStyle w:val="TextBody"/>
        <w:bidi w:val="0"/>
        <w:spacing w:lineRule="auto" w:line="288" w:before="0" w:after="240"/>
        <w:ind w:left="0" w:right="0" w:firstLine="450"/>
        <w:jc w:val="left"/>
        <w:rPr/>
      </w:pPr>
      <w:r>
        <w:rPr>
          <w:rFonts w:ascii="Times New Roman;serif" w:hAnsi="Times New Roman;serif"/>
          <w:b w:val="false"/>
          <w:color w:val="000000"/>
          <w:sz w:val="20"/>
        </w:rPr>
        <w:t>Care.com consists of consumer and enterprise revenue. Consumer revenue is primarily generated through subscription fees from families and caregivers, both domestically and internationally, for Care.com’s suite of products and services. Consumer also includes revenue generated through Care.com’s comprehensive household payroll and tax support services (</w:t>
      </w:r>
      <w:r>
        <w:rPr>
          <w:rFonts w:ascii="Times New Roman;serif" w:hAnsi="Times New Roman;serif"/>
          <w:b w:val="false"/>
          <w:i/>
          <w:color w:val="000000"/>
          <w:sz w:val="20"/>
        </w:rPr>
        <w:t>HomePay</w:t>
      </w:r>
      <w:r>
        <w:rPr>
          <w:rFonts w:ascii="Times New Roman;serif" w:hAnsi="Times New Roman;serif"/>
          <w:b w:val="false"/>
          <w:color w:val="000000"/>
          <w:sz w:val="20"/>
        </w:rPr>
        <w:t>), as well as through contracts with businesses that advertise on its platforms. Subscription fees for consumer services are deferred and recognized over the applicable subscription period, which ranges from one month up to one year. Enterprise revenue is generated primarily through annual contracts with businesses (</w:t>
      </w:r>
      <w:r>
        <w:rPr>
          <w:rFonts w:ascii="Times New Roman;serif" w:hAnsi="Times New Roman;serif"/>
          <w:b w:val="false"/>
          <w:i/>
          <w:color w:val="000000"/>
          <w:sz w:val="20"/>
        </w:rPr>
        <w:t>Care for Business</w:t>
      </w:r>
      <w:r>
        <w:rPr>
          <w:rFonts w:ascii="Times New Roman;serif" w:hAnsi="Times New Roman;serif"/>
          <w:b w:val="false"/>
          <w:color w:val="000000"/>
          <w:sz w:val="20"/>
        </w:rPr>
        <w:t xml:space="preserve">) (employers or re-sellers) who provide access to Care.com’s suite of products and services as an employee benefit. Fees from enterprise contracts include subscription revenue, which is deferred and recognized over the applicable subscription period, and backup care (including child, senior and pet) for employees, which is recognized upon delivery of service.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Search (reflected in discontinued operations)</w:t>
      </w:r>
    </w:p>
    <w:p>
      <w:pPr>
        <w:pStyle w:val="TextBody"/>
        <w:bidi w:val="0"/>
        <w:spacing w:lineRule="auto" w:line="288" w:before="0" w:after="240"/>
        <w:ind w:left="0" w:right="0" w:firstLine="450"/>
        <w:jc w:val="left"/>
        <w:rPr/>
      </w:pPr>
      <w:r>
        <w:rPr>
          <w:rFonts w:ascii="Times New Roman;serif" w:hAnsi="Times New Roman;serif"/>
          <w:b w:val="false"/>
          <w:color w:val="000000"/>
          <w:sz w:val="20"/>
        </w:rPr>
        <w:t>Ask Media Group revenue consists primarily of advertising revenue generated principally through the display of paid listings in response to search queries, as well as from display advertisements appearing alongside content on its various websites and, to a lesser extent, affiliate commerce commission revenue. Paid listings are advertisements displayed on search results pages that generally contain a link to advertiser websites. The majority of the paid listings displayed by Ask Media Group is supplied to us by Google pursuant to the Services Agreement, which expired April 30, 2026 as described under “Shutdown of Search” in “</w:t>
      </w:r>
      <w:hyperlink w:anchor="i6619b59be68b4f7a9428d08547de7a6a_52">
        <w:r>
          <w:rPr>
            <w:rStyle w:val="InternetLink"/>
            <w:rFonts w:ascii="Times New Roman;serif" w:hAnsi="Times New Roman;serif"/>
            <w:b w:val="false"/>
            <w:color w:val="0000FF"/>
            <w:sz w:val="20"/>
            <w:u w:val="single"/>
          </w:rPr>
          <w:t>Note 1—Organization</w:t>
        </w:r>
      </w:hyperlink>
      <w:r>
        <w:rPr>
          <w:rFonts w:ascii="Times New Roman;serif" w:hAnsi="Times New Roman;serif"/>
          <w:b w:val="false"/>
          <w:color w:val="000000"/>
          <w:sz w:val="20"/>
        </w:rPr>
        <w:t>.” Pursuant to this agreement, Ask Media Group businesses transmit search queries to Google, which in turn transmits a set of relevant and responsive paid listings back to these businesses for display in search results. This ad-serving process occurs independently of, but concurrently with, the generation of algorithmic search results for the same search queries. Google paid listings are displayed separately from algorithmic search results and are identified as sponsored listings on search results pages. Paid listings are priced on a price-per-click basis and when a user submits a search query through an Ask Media Group business and then clicks on a Google paid listing displayed in response to the query, Google bills the advertiser that purchased the paid listing and shares a portion of the fee charged to the advertiser with the Ask Media Group business. The Company recognizes paid listing revenue from Google when it delivers the user’s click. In cases where the user’s click is generated due to the efforts of a third-party distributor, we recognize the amount due from Google as revenue and record a revenue share or other payment obligation to the third-party distributor as traffic acquisition costs.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Desktop revenue consists principally of advertising revenue generated through the display of paid listings in response to search queries. The majority of the paid listings displayed are supplied to us by Google in the manner, and pursuant to the Services Agreement, described above.</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Accounts Receivable, Net of the Allowance for Credit Losses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receivable include amounts billed and currently due from customers. The allowance for credit losses is based upon a number of factors, including the length of time accounts receivable are past due and the Company’s previous loss history. For customers with known financial deterioration (e.g. bankruptcy, liquidation), we evaluate the receivable individually and record a specific reserve to reduce the asset to its expected recoverable amount. Customer payments that are not collected in advance of the transfer of promised services or goods are generally due no later than 30 days from the invoice date, with the exception of invoices at People Inc., which vary by revenue stream as described above.</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of payments received or amounts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deferred revenue:</w:t>
      </w:r>
    </w:p>
    <w:tbl>
      <w:tblPr>
        <w:tblW w:w="7914" w:type="dxa"/>
        <w:jc w:val="left"/>
        <w:tblInd w:w="0" w:type="dxa"/>
        <w:tblLayout w:type="fixed"/>
        <w:tblCellMar>
          <w:top w:w="28" w:type="dxa"/>
          <w:left w:w="28" w:type="dxa"/>
          <w:bottom w:w="28" w:type="dxa"/>
          <w:right w:w="28" w:type="dxa"/>
        </w:tblCellMar>
      </w:tblPr>
      <w:tblGrid>
        <w:gridCol w:w="1979"/>
        <w:gridCol w:w="1733"/>
        <w:gridCol w:w="1748"/>
        <w:gridCol w:w="211"/>
        <w:gridCol w:w="721"/>
        <w:gridCol w:w="109"/>
        <w:gridCol w:w="109"/>
        <w:gridCol w:w="109"/>
        <w:gridCol w:w="109"/>
        <w:gridCol w:w="211"/>
        <w:gridCol w:w="721"/>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deferred revenue balance recognized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primarily due to timing of collections and recognition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assets of Mosaic Group on February 15,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Non-current deferred revenue was less than $0.1 million and $0.1 million at December 31, 2025 and 2024, respectively, and is included in “Other long-term liabilities” in the balance sheet.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money market funds and time deposits, with maturities of less than 91 days from the date of purchase. Domestically, cash equivalents primarily consist of Aaa-mf and AAAm rated government money market funds. Internationally, cash equivalents primarily consist of Aaa-mf and AAAm rated government money market funds and time deposits, with maturities of less than 91 days from the date of purchase.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for Investments in Marketable Debt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times, the Company may invest in marketable debt securities with active secondary or resale markets to ensure portfolio liquidity to fund current operations or satisfy other cash requirements as needed. The Company last purchased marketable debt securities during the year ended December 31, 2024 and at both December 31, 2025 and 2024, there were no marketable debt securities.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Certain Risks and Concentrations</w:t>
      </w:r>
    </w:p>
    <w:p>
      <w:pPr>
        <w:pStyle w:val="TextBody"/>
        <w:bidi w:val="0"/>
        <w:spacing w:lineRule="auto" w:line="256"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Equity Price Risk </w:t>
      </w:r>
    </w:p>
    <w:p>
      <w:pPr>
        <w:pStyle w:val="TextBody"/>
        <w:bidi w:val="0"/>
        <w:spacing w:lineRule="auto" w:line="256"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owns 65.8 million common shares of MGM, including 1.1 million common shares purchased in the fourth quarter of 2025 for $40.0 million, which represents approximately 25.5% of MGM’s common shares outstanding. The Company accounts for its investment in MGM under the equity method of accounting and has elected to account for this investment pursuant to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 For the years ended December 31, 2025, 2024 and 2023, the Company recorded unrealized pre-tax gains (losses) from its investment in MGM of $119.2 million, $(649.2) million and $721.7 million, respectively.</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cumulative unrealized net pre-tax gain at December 31, 2025 is $1.1 billion. At December 31, 2025 and 2024, the carrying value of the Company’s investment in MGM, which includes the cumulative unrealized pre-tax gains, was $2.4 billion and $2.2 billion, or approximately 33% and 23% of the Company’s consolidated total assets, respectively. A $2.00 increase or decrease in the share price of MGM would result in an unrealized gain or loss, respectively, of $131.6 million. At February 2, 2026, the fair value of the Company’s investment in MGM was $2.2 billion. The Company’s results of operations and financial condition have in the past been and may in the future be materially impacted by increases or decreases in the price of MGM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principal amount of the Company’s outstanding debt totals $1.44 billion. The $1.04 billion principal amount of the Term Loan A-1 due May 14, 2030 (“Term Loan A-1”) and the Term Loan B-2 due June 16, 2032 (“Term Loan B-2”) bear interest at variable rates based upon the secured overnight financing rate (“SOFR”).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holds interest rate swaps to manage interest rate risk with a total notional amount of $350 million and which will expire on April 1, 2027 (“Interest Rate Swaps”). If SOFR were to increase or decrease by 100 basis points, the combined annual interest expense on the Term Loan A-1 and the Term Loan B-2, net of the impact related to the $350 million in notional amount of Interest Rate Swaps, would increase or decrease by $6.9 million.</w:t>
      </w:r>
    </w:p>
    <w:p>
      <w:pPr>
        <w:pStyle w:val="TextBody"/>
        <w:bidi w:val="0"/>
        <w:spacing w:lineRule="auto" w:line="256"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counterparty credit risk exposure to the private limited life insurance company, which issued the annuity contracts held by the IPC Pension Scheme (“IPC Plan”), which is the funded pension plan in the United Kingdom (“U.K.”), as well as certain financial institutions that are counterparties to the Interest Rate Swaps. In addition, cash and cash equivalents are maintained with financial institutions and are in excess of any applicable third-party insurance limits, such as the Federal Deposit Insurance Corporation and the Securities Investor Protection Corporation. Money market funds are not insured.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Other Risks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certain risks and concentrations including certain customers, dependence on third-party technology providers and exposure to risks associated with online commerce security.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Buildings, Land, Equipment, Leasehold Improvements and Capitalized Software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Buildings, land, equipment, leasehold improvements and capitalized software are recorded at cost or at fair value to the extent acquired in a business combination. Repairs and maintenance costs are expensed as incurred. Amortization of leasehold improvements, which is included in “Depreciation” in the statement of operations, and depreciation are computed using the straight-line method over the estimated useful lives of the assets, or, in the case of leasehold improvements, the lease term, if shorter.</w:t>
      </w:r>
    </w:p>
    <w:tbl>
      <w:tblPr>
        <w:tblW w:w="3944" w:type="dxa"/>
        <w:jc w:val="left"/>
        <w:tblInd w:w="0" w:type="dxa"/>
        <w:tblLayout w:type="fixed"/>
        <w:tblCellMar>
          <w:top w:w="28" w:type="dxa"/>
          <w:left w:w="28" w:type="dxa"/>
          <w:bottom w:w="28" w:type="dxa"/>
          <w:right w:w="28" w:type="dxa"/>
        </w:tblCellMar>
      </w:tblPr>
      <w:tblGrid>
        <w:gridCol w:w="990"/>
        <w:gridCol w:w="868"/>
        <w:gridCol w:w="872"/>
        <w:gridCol w:w="355"/>
        <w:gridCol w:w="355"/>
        <w:gridCol w:w="50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Category</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39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(including furniture)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12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to 11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3 Years</w:t>
            </w:r>
          </w:p>
        </w:tc>
      </w:tr>
    </w:tbl>
    <w:p>
      <w:pPr>
        <w:pStyle w:val="TextBody"/>
        <w:bidi w:val="0"/>
        <w:spacing w:lineRule="auto" w:line="288" w:before="0" w:after="240"/>
        <w:ind w:left="0" w:right="0" w:firstLine="450"/>
        <w:jc w:val="left"/>
        <w:rPr>
          <w:color w:val="000000"/>
        </w:rPr>
      </w:pPr>
      <w:r>
        <w:rPr>
          <w:color w:val="000000"/>
        </w:rPr>
        <w:t>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internal use software costs including external direct costs utilized in developing or obtaining the software and compensation for personnel directly associated with the development of the software. Capitalization of such costs begins when the preliminary project stage is complete and ceases when the project is substantially complete and ready for its intended purpose. The net book value of capitalized internal use software is $10.8 million and $7.6 million at December 31, 2025 and 2024, respectively.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of an acquisition is attributed to the assets acquired and liabilities assumed based on their fair values at the date of acquisition, including identifiable intangible assets that either arise from a contractual or legal right or are separable from goodwill. The Company usually obtains the assistance of outside valuation experts in the allocation of purchase price to the identifiable intangible assets acquired. While outside valuation experts may be used, management has the ultimate responsibility for the valuation methods, models and inputs used and the resulting purchase price allocation. The excess purchase price over the value of net tangible and identifiable intangible assets acquired is recorded as goodwill and is assigned to the reporting unit(s) that is expected to benefit from the business combination as of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Goodwill and Indefinite-Lived Intangible Assets</w:t>
      </w:r>
    </w:p>
    <w:p>
      <w:pPr>
        <w:pStyle w:val="TextBody"/>
        <w:bidi w:val="0"/>
        <w:spacing w:lineRule="auto" w:line="288" w:before="120" w:after="120"/>
        <w:ind w:left="0" w:right="0" w:firstLine="450"/>
        <w:jc w:val="left"/>
        <w:rPr/>
      </w:pPr>
      <w:r>
        <w:rPr>
          <w:rFonts w:ascii="Times New Roman;serif" w:hAnsi="Times New Roman;serif"/>
          <w:b w:val="false"/>
          <w:color w:val="000000"/>
          <w:sz w:val="20"/>
        </w:rPr>
        <w:t>People Inc. has two operating and reportable segments, which comprise People Inc.’s reporting units, Digital and Print. Care.com (reflected in discontinued operations) and Search (reflected in discontinued operations) are also separate operating and reportable segments and reporting units of the Company. Within Emerging &amp; Other, Vivian Health, The Daily Beast and IAC Films are separate operating segments and reporting units. Goodwill is tested for impairment at the reporting unit level. See “</w:t>
      </w:r>
      <w:hyperlink w:anchor="i6619b59be68b4f7a9428d08547de7a6a_82">
        <w:r>
          <w:rPr>
            <w:rStyle w:val="InternetLink"/>
            <w:rFonts w:ascii="Times New Roman;serif" w:hAnsi="Times New Roman;serif"/>
            <w:b w:val="false"/>
            <w:color w:val="0000FF"/>
            <w:sz w:val="20"/>
            <w:u w:val="single"/>
          </w:rPr>
          <w:t>Note 9—Segment Information</w:t>
        </w:r>
      </w:hyperlink>
      <w:r>
        <w:rPr>
          <w:color w:val="000000"/>
        </w:rPr>
        <w:t xml:space="preserve">” </w:t>
      </w:r>
      <w:r>
        <w:rPr>
          <w:rFonts w:ascii="Times New Roman;serif" w:hAnsi="Times New Roman;serif"/>
          <w:b w:val="false"/>
          <w:color w:val="000000"/>
          <w:sz w:val="20"/>
        </w:rPr>
        <w:t>for additional information regarding the Company’s method of determining operating and reportable segments.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assesses goodwill and indefinite-lived intangible assets, which are certain trade names and trademarks, for impairment annually at October 1 or more frequently if an event occurs or circumstances change that would more likely than not reduce the fair value of a reporting unit or the fair value of an indefinite-lived intangible asset below its carrying value.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the option to perform a qualitative assessment as part of its annual impairment assessment to evaluate whether it is more likely than not that the fair value of the reporting unit and/or the fair value of indefinite-lived intangible assets is less than their respective carrying value(s). If the qualitative assessment concludes that it is more likely than not that fair value is less than carrying value, a quantitative assessment is performed to estimate the fair value of the reporting unit and/or the fair value of indefinite-lived intangible assets. If the carrying value exceeds the estimated fair value, an impairment equal to the excess is recorded. Impairments of indefinite-lived intangible assets are included in “Amortization of intangibles” in the statement of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Company’s annual goodwill test as of October 1, 2025, the Company elected to perform a qualitative assessment for each of its reporting units that have goodwill (the Company’s People Inc.’s Print, Search (reflected in discontinued operations), The Daily Beast and IAC Films reporting units have no goodwill for any period presented). The October 1, 2025 qualitative assessment resulted in no impairments.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primary factors that the Company considered in its qualitative assessment were (i) the extent to which the most recent estimated fair value exceeded the carrying value for each reporting unit; (ii) the current year actual and forecasted operating results of the reporting unit; and (iii) an evaluation of relevant events and circumstances that may impact earnings or key valuation assumptions of each reporting unit such as cost factors, legal and regulatory environment, macroeconomic and market conditions, and other relevant factors that may affect the fair value of the reporting unit.</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the Company reassessed the fair value of and performed a quantitative test of the Care.com reporting unit (reflected in discontinued operations) and recorded a goodwill impairment of $207.5 million. The Company’s reassessment of goodwill for the Care.com reporting unit was based on current market conditions. The fair value of the reporting unit was determined using observable market participant data. During the fourth quarter of 2024, the Company reassessed the fair value of and performed a quantitative test of all of its reporting units that had goodwill. The Company’s reassessment of the goodwill of all of its reporting units as of December 31, 2024 was due to the decline in the Company’s stock price. No impairments of goodwill were recorded following this reassessment.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carrying value of goodwill for which the most recent estimate of the excess of fair value over carrying value is less than 20% is $283.4 million, which is attributable to the Care.com reporting unit (reflected in discontinued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120" w:after="120"/>
        <w:jc w:val="left"/>
        <w:rPr/>
      </w:pPr>
      <w:r>
        <w:rPr>
          <w:rFonts w:ascii="Times New Roman;serif" w:hAnsi="Times New Roman;serif"/>
          <w:b w:val="false"/>
          <w:color w:val="000000"/>
          <w:sz w:val="20"/>
        </w:rPr>
        <w:t xml:space="preserve">Under a quantitative assessment, the fair value of the Company’s reporting units is generally determined using both an income approach based on discounted cash flows (“DCF”) and a market approach when it tests goodwill for impairment. Determining fair value using a DCF analysis requires the exercise of significant judgment with respect to several items, including the amount and timing of expected future cash flows and appropriate discount rates. The expected cash flows used in the DCF analyses were based on the Company’s then most recent forecast and budget and, for years beyond the budget, the Company’s estimates, which were based, in part, on forecasted growth rates. The discount rates used in the DCF analyses were intended to reflect the risks inherent in the expected future cash flows of the respective reporting units. Assumptions used in the DCF analyses, including the discount rate, were assessed based on each reporting unit’s then current results and forecasted future performance, as well as macroeconomic and industry specific factors. The </w:t>
      </w:r>
      <w:r>
        <w:rPr>
          <w:rFonts w:ascii="Times New Roman;serif" w:hAnsi="Times New Roman;serif"/>
          <w:b w:val="false"/>
          <w:color w:val="000000"/>
          <w:sz w:val="20"/>
          <w:shd w:fill="FFFFFF" w:val="clear"/>
        </w:rPr>
        <w:t xml:space="preserve">discount rates used for determining the fair values of the Company’s Care.com reporting unit </w:t>
      </w:r>
      <w:r>
        <w:rPr>
          <w:rFonts w:ascii="Times New Roman;serif" w:hAnsi="Times New Roman;serif"/>
          <w:b w:val="false"/>
          <w:color w:val="000000"/>
          <w:sz w:val="20"/>
        </w:rPr>
        <w:t xml:space="preserve">(reflected in discontinued operations) </w:t>
      </w:r>
      <w:r>
        <w:rPr>
          <w:rFonts w:ascii="Times New Roman;serif" w:hAnsi="Times New Roman;serif"/>
          <w:b w:val="false"/>
          <w:color w:val="000000"/>
          <w:sz w:val="20"/>
          <w:shd w:fill="FFFFFF" w:val="clear"/>
        </w:rPr>
        <w:t xml:space="preserve">as of October 1,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People Inc.’s Digital reporting unit and the Company’s Care.com and Vivian Health reporting units as of December 31, 2024 were 14%, 14.5%, 14.5%, and 23%, respectively. Determining fair value using a market approach considers multiples of financial metrics based on </w:t>
      </w:r>
      <w:r>
        <w:rPr>
          <w:rFonts w:ascii="Times New Roman;serif" w:hAnsi="Times New Roman;serif"/>
          <w:b w:val="false"/>
          <w:color w:val="000000"/>
          <w:sz w:val="20"/>
        </w:rPr>
        <w:t>both acquisitions and trading multiples of a selected peer group of companies. From the comparable companies, a representative market multiple was determined, which was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 The October 1, 2024 and 2023 annual assessments of goodwill resulted in no impairments.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the Company recorded a goodwill impairment of $9.0 million following the Company’s reassessment of the fair value of the Mosaic Group reporting unit (included within Emerging &amp; Other prior to the sale of its assets on February 15,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its annual impairment test as of October 1, 2025, the Company elected to perform a qualitative assessment for each of its indefinite-lived intangible assets. The qualitative assessment as of October 1, 2025 resulted in no impairments. The primary factors that the Company considered in its qualitative assessment were (i) the extent to which the most recent estimated fair value exceeded the carrying value for each indefinite-lived intangible asset; (ii) the current year actual and forecasted operating results considered relevant for each applicable indefinite-lived intangible asset; and (iii) an evaluation of relevant events and circumstances that may impact key valuation assumptions or expected future cash flows of each indefinite-lived intangible asset such as cost factors, legal and regulatory environment, macroeconomic and market conditions, and other relevant factors that may affect the fair value of the indefinite-lived intangible asset.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2024 and 2023, the Company performed a quantitative assessment to determine the fair value of each of its indefinite-lived intangible assets as of October 1. When a quantitative test is performed, 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then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macroeconomic and industry specific factors. The discount rates used in the Company’s indefinite-lived quantitative impairment assessment (including those of Care.com, reflected in discontinued operations) in 2024 ranged from 13.5% to 14% and the royalty rates used ranged from 2% to 8%. The October 1, 2024 annual assessment of indefinite-lived intangible assets resulted in no impairments. The October 1, 2023 quantitative assessment of indefinite-lived intangible assets identified an impairment of $79.9 million related to certain other indefinite-lived trade name intangible assets in People Inc.’s Digital segment. The discount rate used to value these trade names was 15.5% and the royalty rate was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2024, the Company determined that a projected reduction in future revenue related to certain indefinite-lived trade name intangible assets with a carrying value of $20.7 million in the People Inc.’s Digital segment resulted in a change in classification to definite-lived intangible assets to be amortized over their respective useful lives. There was no impairment recorded in connection with the change in classification.</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2023, the Company determined that a projected reduction in future revenue related to a certain indefinite-lived trade name intangible asset in the People Inc.’s Digital segment was an indicator of possible impairment. Following the identification of the indicator, the Company updated its calculation of the fair value of the indefinite-lived intangible asset and recorded an impairment of $7.6 million. The discount rate used to value the trade name was 16% and the royalty rate was 8%. A quantitative assessment of this indefinite-lived trade name intangible asset was prepared as of October 1, 2023; this test resulted in no additional impairment as its carrying value approximates its fair value.</w:t>
      </w:r>
    </w:p>
    <w:p>
      <w:pPr>
        <w:pStyle w:val="TextBody"/>
        <w:bidi w:val="0"/>
        <w:spacing w:lineRule="auto" w:line="276"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no indefinite-lived intangible assets for which the most recent estimate of the excess fair value over carrying value is less than 20%.</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Long-Lived Assets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Long-lived assets, other than goodwill and indefinite-lived intangible assets, are reviewed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People Inc. amended a lease for the surrender of certain unoccupied office space early, for a total payment of $43.1 million, consisting of equal payments paid in January and April 2025. During the third quarter of 2025, People Inc. entered into an additional amendment to the lease, which provided for the surrender of additional office space early for a total payment of $8.5 million. As of December 31, 2025, $4.3 million remains outstanding and was paid in January 2026. Prior to these amendments, the lease for this office space would have expired in 2032. People Inc. recorded a total net gain related to these amendments of $41.5 million, which is reflected in “General and administrative expense” in the statement of operations. The ROU asset of the amended lease had been previously impaired in prior years.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2023, due to the continued decline in the commercial real estate market, People Inc. recorded impairment charges of $70.0 million related to certain unoccupied leased office space consisting of impairments of $44.7 million of an ROU asset and $25.3 million of the related leasehold improvements, furniture and equipment.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impairment charges related to ROU assets are included in “General and administrative expense” and the impairment charges related to leasehold improvements, furniture and equipment are included in “Depreciation” in the statement of operations. The impairment charges represent the amount by which the carrying value of the asset group exceeded its estimated fair value, calculated using a DCF approach using sublease market assumptions of the expected cash flows and discount rate. The impairment charges were allocated between the ROU assets and related leasehold improvements, furniture and equipment of the asset group based on their relative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for Investments in Equity Securities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The Company’s equity securities, other than those of its consolidated subsidiaries and those accounted for under the equity method, are accounted for at fair value under the measurement alternative in accordance with ASC Subtopic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with any changes to fair value recognized in “Other income, net” in the statement of operations each reporting period. Under the measurement alternative, equity investments without readily determinable fair values are carried at cost minus impairment, if any, plus or minus changes resulting from observable price changes in orderly transactions for identical or similar securities of the same issuer; fair value is generally determined based on a market approach as of the transaction date. A security will be considered identical or similar if it has identical or similar rights to the equity securities held by the Company. The Company reviews its investments in equity securities without readily determinable fair values for impairment each reporting period when there are qualitative factors or events that indicate possible impairment. Factors the Company considers in making this determination include negative changes in industry and market conditions, financial performance, business prospects, and other relevant events and factors. When indicators of impairment exist, the Company prepares quantitative assessments of the fair value of its investments in equity securities, which require judgment and the use of estimates. When the Company’s assessment indicates that the fair value of the investment is below its carrying value, the Company writes down the investment to its fair value and records the corresponding charge in “Other income, net” in the statement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categorizes its financial instruments measured at fair value into a fair value hierarchy that prioritizes the inputs used in pricing the asset or liability. The three levels of the fair value hierarchy are: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Level 1: Observable inputs obtained from independent sources, such as quoted market prices for identical assets and liabilities in active markets.</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pStyle w:val="TextBody"/>
        <w:bidi w:val="0"/>
        <w:spacing w:before="0" w:after="0"/>
        <w:ind w:left="0" w:right="0" w:firstLine="90"/>
        <w:jc w:val="left"/>
        <w:rPr/>
      </w:pPr>
      <w:r>
        <w:rPr/>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 See “</w:t>
      </w:r>
      <w:hyperlink w:anchor="i6619b59be68b4f7a9428d08547de7a6a_61">
        <w:r>
          <w:rPr>
            <w:rStyle w:val="InternetLink"/>
            <w:rFonts w:ascii="Times New Roman;serif" w:hAnsi="Times New Roman;serif"/>
            <w:b w:val="false"/>
            <w:color w:val="0000FF"/>
            <w:sz w:val="20"/>
            <w:u w:val="single"/>
          </w:rPr>
          <w:t>Note 3—Financial Instruments and Fair Value Measurements</w:t>
        </w:r>
      </w:hyperlink>
      <w:r>
        <w:rPr>
          <w:color w:val="000000"/>
        </w:rPr>
        <w:t xml:space="preserve">” </w:t>
      </w:r>
      <w:r>
        <w:rPr>
          <w:rFonts w:ascii="Times New Roman;serif" w:hAnsi="Times New Roman;serif"/>
          <w:b w:val="false"/>
          <w:color w:val="000000"/>
          <w:sz w:val="20"/>
        </w:rPr>
        <w:t>for a discussion of fair value measurements made using Level 3 inputs.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Assets measured at fair value on a nonrecurring basis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ROU assets, buildings, equipment, leasehold improvements and capitalized software are adjusted to fair value only when an impairment is recognized. The Company’s financial assets, comprising equity securities without readily determinable fair values, are adjusted to fair value when observable price changes are identified or an impairment is recognized. Such fair value measurements are based predominantly on Level 3 inputs. Refer to “Goodwill and Indefinite-Lived Intangible Assets” and “Long-Lived Assets” above for a description of impairment charges.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incurred (when the advertisement first runs for production costs that are initially capitalized) and primarily represent online marketing, including fees paid to search engines, social media sites and other online marketing platforms, and offline marketing, which is primarily direct-mail costs for magazine subscription acquisition efforts at People Inc. Advertising expense is $169.2 million, $158.8 million and $189.4 million for the years ended December 31, 2025, 2024 and 2023, respectively.</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Legal Costs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Legal costs, other than certain costs incurred to obtain financing, which are generally capitalized, are expensed as incurred.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68" w:before="0" w:after="240"/>
        <w:ind w:left="0" w:right="0" w:firstLine="450"/>
        <w:jc w:val="left"/>
        <w:rPr/>
      </w:pPr>
      <w:r>
        <w:rPr>
          <w:rFonts w:ascii="Times New Roman;serif" w:hAnsi="Times New Roman;serif"/>
          <w:b w:val="false"/>
          <w:color w:val="000000"/>
          <w:sz w:val="20"/>
        </w:rPr>
        <w:t xml:space="preserve">People Inc.’s Interest Rate Swaps have been designated as cash flow hedges and People Inc. applies hedge accounting to these contracts in accordance with FASB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See “</w:t>
      </w:r>
      <w:hyperlink w:anchor="i6619b59be68b4f7a9428d08547de7a6a_70">
        <w:r>
          <w:rPr>
            <w:rStyle w:val="InternetLink"/>
            <w:rFonts w:ascii="Times New Roman;serif" w:hAnsi="Times New Roman;serif"/>
            <w:b w:val="false"/>
            <w:color w:val="0000FF"/>
            <w:sz w:val="20"/>
            <w:u w:val="single"/>
          </w:rPr>
          <w:t>Note 6—Long-Term Debt</w:t>
        </w:r>
      </w:hyperlink>
      <w:r>
        <w:rPr>
          <w:color w:val="000000"/>
        </w:rPr>
        <w:t xml:space="preserve">” </w:t>
      </w:r>
      <w:r>
        <w:rPr>
          <w:rFonts w:ascii="Times New Roman;serif" w:hAnsi="Times New Roman;serif"/>
          <w:b w:val="false"/>
          <w:color w:val="000000"/>
          <w:sz w:val="20"/>
        </w:rPr>
        <w:t>for a detailed description of long-term debt.</w:t>
      </w:r>
    </w:p>
    <w:p>
      <w:pPr>
        <w:pStyle w:val="TextBody"/>
        <w:bidi w:val="0"/>
        <w:spacing w:lineRule="auto" w:line="268" w:before="0" w:after="240"/>
        <w:ind w:left="0" w:right="0" w:firstLine="450"/>
        <w:jc w:val="left"/>
        <w:rPr/>
      </w:pPr>
      <w:r>
        <w:rPr>
          <w:rFonts w:ascii="Times New Roman;serif" w:hAnsi="Times New Roman;serif"/>
          <w:b w:val="false"/>
          <w:color w:val="000000"/>
          <w:sz w:val="20"/>
        </w:rPr>
        <w:t>People Inc. assessed hedge effectiveness at the time of entering into these agreements and determined the Interest Rate Swaps are expected to be highly effective. The Company evaluates the hedge effectiveness of the Interest Rate Swaps quarterly, or more frequently, if necessary, by verifying (i) that the critical terms of the Interest Rate Swaps continue to match the critical terms of the hedged interest payments and (ii) that it is probable the counterparties will not default. If the two requirements are met, the Interest Rate Swaps are determined to be effective and all changes in the fair value of the Interest Rate Swaps are recorded in “Accumulated other comprehensive loss.” As cash flow hedges, the Interest Rate Swaps are recognized at fair value on the balance sheet as either assets or liabilities, with the changes in fair value recorded in “Accumulated other comprehensive loss” in the balance sheet. Realized gains or losses are reclassified into “Interest expense” in the statement of operations. The cash flows related to interest settlements of the hedged monthly interest payments are classified as operating activities in the statement of cash flows, consistent with the interest expense on the related Term Loan B-2 and the Term Loan B-1. See “</w:t>
      </w:r>
      <w:hyperlink w:anchor="i6619b59be68b4f7a9428d08547de7a6a_79">
        <w:r>
          <w:rPr>
            <w:rStyle w:val="InternetLink"/>
            <w:rFonts w:ascii="Times New Roman;serif" w:hAnsi="Times New Roman;serif"/>
            <w:b w:val="false"/>
            <w:color w:val="0000FF"/>
            <w:sz w:val="20"/>
            <w:u w:val="single"/>
          </w:rPr>
          <w:t>Note 8—Accumulated Other Comprehensive Loss</w:t>
        </w:r>
      </w:hyperlink>
      <w:r>
        <w:rPr>
          <w:color w:val="000000"/>
        </w:rPr>
        <w:t xml:space="preserve">” </w:t>
      </w:r>
      <w:r>
        <w:rPr>
          <w:rFonts w:ascii="Times New Roman;serif" w:hAnsi="Times New Roman;serif"/>
          <w:b w:val="false"/>
          <w:color w:val="000000"/>
          <w:sz w:val="20"/>
        </w:rPr>
        <w:t xml:space="preserve">for the net unrealized gains and losses before reclassifications in “Accumulated other comprehensive loss” and realized gains reclassified into “Interest expense” for the years ended December 31, 2025, 2024 and 2023. </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Original Issue Discount, Debt Issuance Costs and Deferred Financing Costs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Costs incurred to obtain financing are generally deferred and amortized to “Interest expense” in the statement of operations over the related financing period using the effective interest method. The Company records debt issuance costs as a direct reduction of the carrying value of the related debt. Financing costs related to the undrawn revolving credit facility are included in “Other non-current assets” in the balance sheet.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The Company records interest, net of any applicable related income tax benefit, for uncertain tax positions as a component of income tax expense. The Company elects to recognize the tax on Global Intangible Low-Taxed Income as a period expense in the period the tax is incurred.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and accounts for uncertain tax positions using a two-step approach. Recognition (step one) occurs when the Company concludes that a tax position, based solely on its technical merits, is more likely than not to be sustainable upon examination. Measurement (step two) determines the amount of benefit that is greater than 50% likely to be realized upon ultimate settlement with a taxing authority that has full knowledge of all relevant information. De-recognition of a tax position that was previously recognized would occur when the Company subsequently determines that a tax position no longer meets the more-likely-than-not threshold of being sustained.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Pensions and Post-Retirement Benefits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Meredith Holdings Corporation (“Meredith”) in December 2021, the Company assumed certain pension plan obligations. The funded plan in the U.K., the IPC Plan, and the funded plan in the U.S. were the two largest of these pension plans. The U.S. funded plan was terminated as of December 31, 2022 and fully settled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IPC Plan relates to a business that was sold by Meredith Corporation prior to December 2021. The IPC Plan has entered into two annuity contracts designed to provide payments equal to all future designated contractual benefit payments to covered participants. The value of these annuity contracts and the liabilities with respect to participants are expected to match. There are no active participants in the IPC Plan or the unfunded pension plan in the U.K. so there are no service costs with respect to these plans. Given the expected matching of assets and liabilities, People Inc. is not expected to be required to make additional contributions to the IPC Plan, however, People Inc. is expected to be required to provide funding to cover the IPC Plan’s operating expenses.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U.S. unfunded plan was frozen with respect to new participants January 1, 2018 and was frozen for active participants as of December 31, 2024, and therefore, has no service costs in 2025 or in the future. Pension benefits for the U.S. unfunded plan are based on formulas that reflect pay credits allocated to participants’ accounts based on years of benefit service and annual pensionable earnings.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unfunded plan in the U.S. and the unfunded plan in the U.K. are funded as payments are made to the plan participants, which can include the purchase of annuity contracts. Separately, the Company provides health care benefits for certain employees in the U.S. upon their retirement. This plan is the only plan with active participants accruing benefits based upon service and the expected cost of which is accrued over the period that the employees render service; this plan is funded as claims are paid. The service costs were less than $1 thousand for the year ended December 31, 2025; there are only four active participants in this plan accruing benefits as of December 31, 2025.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utilizes a mark-to-market approach to account for pension and post-retirement benefits. Under this approach, the Company recognizes changes in the fair value of plan assets and liabilities and actuarial gains or losses in the fourth quarter of each fiscal year or whenever a plan is required to be remeasured. Events requiring a plan remeasurement are recognized in the quarter in which the remeasurement event occurs. The remaining components of pension and other post-retirement plan net periodic benefit cost (credit) are recorded on a quarterly basis.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for the IPC Plan is an effective insurance settlement rate, using the estimated discount rates inherent in the annuity contracts at each measurement date. The discount rates utilized for the U.S. unfunded plan, post-retirement plan and unfunded U.K. plan were based on the investment yields of high-quality corporate bonds available in the marketplace with maturities equal to projected cash flows of future benefit payments as of the measurement date. </w:t>
      </w:r>
    </w:p>
    <w:p>
      <w:pPr>
        <w:pStyle w:val="TextBody"/>
        <w:bidi w:val="0"/>
        <w:spacing w:lineRule="auto" w:line="288" w:before="0" w:after="240"/>
        <w:ind w:left="0" w:right="0" w:firstLine="450"/>
        <w:jc w:val="left"/>
        <w:rPr/>
      </w:pPr>
      <w:r>
        <w:rPr>
          <w:rFonts w:ascii="Times New Roman;serif" w:hAnsi="Times New Roman;serif"/>
          <w:b w:val="false"/>
          <w:color w:val="000000"/>
          <w:sz w:val="20"/>
        </w:rPr>
        <w:t>See “</w:t>
      </w:r>
      <w:hyperlink w:anchor="i6619b59be68b4f7a9428d08547de7a6a_91">
        <w:r>
          <w:rPr>
            <w:rStyle w:val="InternetLink"/>
            <w:rFonts w:ascii="Times New Roman;serif" w:hAnsi="Times New Roman;serif"/>
            <w:b w:val="false"/>
            <w:color w:val="0000FF"/>
            <w:sz w:val="20"/>
            <w:u w:val="single"/>
          </w:rPr>
          <w:t>Note 11—Pension and Post-Retirement Benefit Plans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40"/>
        <w:ind w:left="0" w:right="0" w:firstLine="450"/>
        <w:jc w:val="left"/>
        <w:rPr/>
      </w:pPr>
      <w:r>
        <w:rPr>
          <w:rFonts w:ascii="Times New Roman;serif" w:hAnsi="Times New Roman;serif"/>
          <w:b w:val="false"/>
          <w:color w:val="000000"/>
          <w:sz w:val="20"/>
        </w:rPr>
        <w:t>Basic net earnings (loss) per share (“EPS”) is computed by dividing net earnings (loss) attributable to holders of People Incorporated common stock and Class B common stock by the weighted-average number of shares of common stock and Class B common stock outstanding during the period. Diluted earnings per share reflects the potential dilution that could occur if stock options and other commitments to issue common stock were exercised or equity awards vested resulting in the issuance of common stock that could share in the earnings of the Company. See “</w:t>
      </w:r>
      <w:hyperlink w:anchor="i6619b59be68b4f7a9428d08547de7a6a_97">
        <w:r>
          <w:rPr>
            <w:rStyle w:val="InternetLink"/>
            <w:rFonts w:ascii="Times New Roman;serif" w:hAnsi="Times New Roman;serif"/>
            <w:b w:val="false"/>
            <w:color w:val="0000FF"/>
            <w:sz w:val="20"/>
            <w:u w:val="single"/>
          </w:rPr>
          <w:t>Note 13—(Loss) Earnings Per Share</w:t>
        </w:r>
      </w:hyperlink>
      <w:r>
        <w:rPr>
          <w:color w:val="000000"/>
        </w:rPr>
        <w:t xml:space="preserve">” </w:t>
      </w:r>
      <w:r>
        <w:rPr>
          <w:rFonts w:ascii="Times New Roman;serif" w:hAnsi="Times New Roman;serif"/>
          <w:b w:val="false"/>
          <w:color w:val="000000"/>
          <w:sz w:val="20"/>
        </w:rPr>
        <w:t>for additional information on dilutive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Foreign Currency Translation and Transaction Gains and Losses</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Company’s financial operations and operating results are principally derived from operations in the U.S. The financial position and operating results of foreign entities are based on their local currency and are consolidated using the local currency as the functional currency. These local currency assets and liabilities are translated at the rates of exchange as of the balance sheet date, and local currency revenue and expenses of these operations are translated at average rates of exchange during the period. Translation gains and losses are included in “Accumulated other comprehensive loss” as a component of shareholders’ equity. Foreign transaction exchange gains and losses resulting from assets and liabilities denominated in a currency other than the functional currency are included in the statement of operations as a component of “Other income, net” and were not material for the years ended December 31, 2025, 2024 and 2023. Translation gains and losses relating to foreign entities that were liquidated or substantially liquidated are reclassified out of accumulated other comprehensive (loss) income into earnings. See “</w:t>
      </w:r>
      <w:hyperlink w:anchor="i6619b59be68b4f7a9428d08547de7a6a_79">
        <w:r>
          <w:rPr>
            <w:rStyle w:val="InternetLink"/>
            <w:rFonts w:ascii="Times New Roman;serif" w:hAnsi="Times New Roman;serif"/>
            <w:b w:val="false"/>
            <w:color w:val="0000FF"/>
            <w:sz w:val="20"/>
            <w:u w:val="single"/>
          </w:rPr>
          <w:t>Note 8—Accumulated Other Comprehensive Loss</w:t>
        </w:r>
      </w:hyperlink>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450"/>
        <w:jc w:val="left"/>
        <w:rPr/>
      </w:pPr>
      <w:r>
        <w:rPr>
          <w:rFonts w:ascii="Times New Roman;serif" w:hAnsi="Times New Roman;serif"/>
          <w:b w:val="false"/>
          <w:color w:val="000000"/>
          <w:sz w:val="20"/>
        </w:rPr>
        <w:t>Stock-based compensation is measured at the grant date based on the fair value of the award and is generally expensed over the requisite service period. See “</w:t>
      </w:r>
      <w:hyperlink w:anchor="i6619b59be68b4f7a9428d08547de7a6a_88">
        <w:r>
          <w:rPr>
            <w:rStyle w:val="InternetLink"/>
            <w:rFonts w:ascii="Times New Roman;serif" w:hAnsi="Times New Roman;serif"/>
            <w:b w:val="false"/>
            <w:color w:val="0000FF"/>
            <w:sz w:val="20"/>
            <w:u w:val="single"/>
          </w:rPr>
          <w:t>Note 10—Stock-Based Compensation</w:t>
        </w:r>
      </w:hyperlink>
      <w:r>
        <w:rPr>
          <w:color w:val="000000"/>
        </w:rPr>
        <w:t xml:space="preserve">” </w:t>
      </w:r>
      <w:r>
        <w:rPr>
          <w:rFonts w:ascii="Times New Roman;serif" w:hAnsi="Times New Roman;serif"/>
          <w:b w:val="false"/>
          <w:color w:val="000000"/>
          <w:sz w:val="20"/>
        </w:rPr>
        <w:t>for a discussion of the Company’s stock-based compensation plans.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the subsidiaries of the Company are ordinarily reported on the balance sheet within shareholders’ equity, separately from the Company’s equity. However, securities that are redeemable at the option of the holder and not solely within the control of the issuer must be classified outside of shareholders’ equity. Accordingly, all noncontrolling interests that are redeemable at the option of the holder are presented outside of shareholders’ equity in the balance sheet.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certain subsidiaries, management of these businesses has retained an ownership interest. The Company is party to fair value put and call arrangements with respect to these interests. These put and call arrangements allow management of these businesses to require the Company to purchase their interests or allow the Company to acquire such interests at fair value, respectively. The put arrangements do not meet the definition of a derivative instrument as the put agreements do not provide for net settlement. These put and call arrangements become exercisable by the Company and the counterparty at various dates in the future. There were no arrangements exercised during the years ended December 31, 2025, 2024 and 2023. These put arrangements are exercisable by the counterparty outside the control of the Company. Accordingly, to the extent that the redemption amount of these interests exceeds the value determined by normal noncontrolling interest accounting, the value of such interests is adjusted to the redemption amount with a corresponding adjustment to additional paid-in capital. During the years ended December 31, 2025, 2024 and 2023, the Company recorded adjustments of $(0.5) million, $(7.0) million and $7.6 million, respectively, to (decrease) increase these interests to their redemption amounts. Adjustments to these interests require high levels of judgment and are based on various valuation techniques, including market comparables and discounted cash flow projections.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Recent Accounting Pronouncements Adopted by the Company</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Update (“ASU”) No. 2023-09—Income Taxes (Topic 740)—Improvements to Income Tax Disclosures</w:t>
      </w:r>
    </w:p>
    <w:p>
      <w:pPr>
        <w:pStyle w:val="TextBody"/>
        <w:bidi w:val="0"/>
        <w:spacing w:lineRule="auto" w:line="288" w:before="0" w:after="240"/>
        <w:ind w:left="0" w:right="0" w:firstLine="450"/>
        <w:jc w:val="left"/>
        <w:rPr/>
      </w:pPr>
      <w:r>
        <w:rPr>
          <w:rFonts w:ascii="Times New Roman;serif" w:hAnsi="Times New Roman;serif"/>
          <w:b w:val="false"/>
          <w:color w:val="000000"/>
          <w:sz w:val="20"/>
        </w:rPr>
        <w:t>In December 2023, the FASB issued ASU No. 2023-09</w:t>
      </w:r>
      <w:r>
        <w:rPr>
          <w:rFonts w:ascii="Times New Roman;serif" w:hAnsi="Times New Roman;serif"/>
          <w:b w:val="false"/>
          <w:color w:val="212529"/>
          <w:sz w:val="20"/>
          <w:shd w:fill="FFFFFF" w:val="clear"/>
        </w:rPr>
        <w:t xml:space="preserve">, which established required categories and a quantitative threshold for the annual tabular rate reconciliation disclosures and disaggregated jurisdictional disclosures of income taxes paid. The Company retrospectively adopted ASU No. 2023-09 in its financial statements effective for the year ended December 31, 2025. See </w:t>
      </w:r>
      <w:r>
        <w:rPr>
          <w:color w:val="000000"/>
        </w:rPr>
        <w:t>“</w:t>
      </w:r>
      <w:hyperlink w:anchor="i6619b59be68b4f7a9428d08547de7a6a_94">
        <w:r>
          <w:rPr>
            <w:rStyle w:val="InternetLink"/>
            <w:rFonts w:ascii="Times New Roman;serif" w:hAnsi="Times New Roman;serif"/>
            <w:b w:val="false"/>
            <w:color w:val="0000FF"/>
            <w:sz w:val="20"/>
            <w:u w:val="single"/>
          </w:rPr>
          <w:t>Note 12—Income Taxes</w:t>
        </w:r>
      </w:hyperlink>
      <w:r>
        <w:rPr>
          <w:color w:val="000000"/>
        </w:rPr>
        <w:t xml:space="preserve">” </w:t>
      </w:r>
      <w:r>
        <w:rPr>
          <w:rFonts w:ascii="Times New Roman;serif" w:hAnsi="Times New Roman;serif"/>
          <w:b w:val="false"/>
          <w:color w:val="000000"/>
          <w:sz w:val="20"/>
        </w:rPr>
        <w:t xml:space="preserve">for the updated disclosures.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 by the Company</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ASU No. 2024-03—Income Statement-Reporting Comprehensive Income—Expense Disaggregation Disclosures (Subtopic 220-40)—Disaggregation of Income Statement Expenses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ASU No. 2024-03 does not affect the Company’s results of operations, financial condition or cash flows. The Company plans to apply ASU 2024-03 on a prospective basis and does not plan to early adopt ASU No. 2024-03; the Company is currently assessing its impact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ASU No. 2025-06—Intangibles—Goodwill and Other— Internal-Use Software (Subtopic 350-40): Targeted Improvements to Accounting for Internal-Use Software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which amends the existing standard by removing references to software development project stages and clarifying the criteria for capitalization. ASU No. 2025-06 is effective for fiscal years beginning after December 15, 2027 and for interim periods within those fiscal years. Early adoption is permitted, and ASU No. 2025-06 may be applied prospectively, retrospectively or with a modified transition approach. The Company expects to adopt ASU No. 2025-06 on a prospective basis and is assessing its impact on its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3—FINANCIAL INSTRUMENTS AND FAIR VALUE MEASUREMENTS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Investment in MGM Resorts International</w:t>
      </w:r>
    </w:p>
    <w:tbl>
      <w:tblPr>
        <w:tblW w:w="4733" w:type="dxa"/>
        <w:jc w:val="left"/>
        <w:tblInd w:w="0" w:type="dxa"/>
        <w:tblLayout w:type="fixed"/>
        <w:tblCellMar>
          <w:top w:w="28" w:type="dxa"/>
          <w:left w:w="28" w:type="dxa"/>
          <w:bottom w:w="28" w:type="dxa"/>
          <w:right w:w="28" w:type="dxa"/>
        </w:tblCellMar>
      </w:tblPr>
      <w:tblGrid>
        <w:gridCol w:w="641"/>
        <w:gridCol w:w="563"/>
        <w:gridCol w:w="565"/>
        <w:gridCol w:w="211"/>
        <w:gridCol w:w="976"/>
        <w:gridCol w:w="109"/>
        <w:gridCol w:w="109"/>
        <w:gridCol w:w="109"/>
        <w:gridCol w:w="109"/>
        <w:gridCol w:w="211"/>
        <w:gridCol w:w="97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2,242,672 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pPr>
      <w:r>
        <w:rPr>
          <w:rFonts w:ascii="Times New Roman;serif" w:hAnsi="Times New Roman;serif"/>
          <w:b w:val="false"/>
          <w:color w:val="000000"/>
          <w:sz w:val="20"/>
        </w:rPr>
        <w:t>See “Equity Price Risk” under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 xml:space="preserve">for further discussion of the Company’s investment in MGM.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Long-term Investments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investments consist of:</w:t>
      </w:r>
    </w:p>
    <w:tbl>
      <w:tblPr>
        <w:tblW w:w="7433" w:type="dxa"/>
        <w:jc w:val="left"/>
        <w:tblInd w:w="0" w:type="dxa"/>
        <w:tblLayout w:type="fixed"/>
        <w:tblCellMar>
          <w:top w:w="28" w:type="dxa"/>
          <w:left w:w="28" w:type="dxa"/>
          <w:bottom w:w="28" w:type="dxa"/>
          <w:right w:w="28" w:type="dxa"/>
        </w:tblCellMar>
      </w:tblPr>
      <w:tblGrid>
        <w:gridCol w:w="1729"/>
        <w:gridCol w:w="1516"/>
        <w:gridCol w:w="1524"/>
        <w:gridCol w:w="211"/>
        <w:gridCol w:w="826"/>
        <w:gridCol w:w="109"/>
        <w:gridCol w:w="109"/>
        <w:gridCol w:w="109"/>
        <w:gridCol w:w="109"/>
        <w:gridCol w:w="211"/>
        <w:gridCol w:w="82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without readily determinable fair values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Securities without Readily Determinable Fair Values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unrealized pre-tax gains and losses recorded in “Other income, net” in the statement of operations as adjustments to the carrying value of equity securities without readily determinable fair values held at December 31, 2025 and 2024.</w:t>
      </w:r>
    </w:p>
    <w:tbl>
      <w:tblPr>
        <w:tblW w:w="9128" w:type="dxa"/>
        <w:jc w:val="center"/>
        <w:tblInd w:w="0" w:type="dxa"/>
        <w:tblLayout w:type="fixed"/>
        <w:tblCellMar>
          <w:top w:w="28" w:type="dxa"/>
          <w:left w:w="28" w:type="dxa"/>
          <w:bottom w:w="28" w:type="dxa"/>
          <w:right w:w="28" w:type="dxa"/>
        </w:tblCellMar>
      </w:tblPr>
      <w:tblGrid>
        <w:gridCol w:w="2364"/>
        <w:gridCol w:w="2077"/>
        <w:gridCol w:w="2083"/>
        <w:gridCol w:w="211"/>
        <w:gridCol w:w="796"/>
        <w:gridCol w:w="109"/>
        <w:gridCol w:w="109"/>
        <w:gridCol w:w="109"/>
        <w:gridCol w:w="109"/>
        <w:gridCol w:w="211"/>
        <w:gridCol w:w="796"/>
        <w:gridCol w:w="154"/>
      </w:tblGrid>
      <w:tr>
        <w:trPr/>
        <w:tc>
          <w:tcPr>
            <w:tcW w:w="236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Upward adjustments (gross unrealized pre-tax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Downward adjustments including impairments (gross unrealized pre-tax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cumulative upward and downward adjustments (including impairments) to the carrying value of equity securities without readily determinable fair values held at December 31, 2025 were $31.4 million and $171.2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Realized and unrealized pre-tax gains and losses for the Company’s investments without readily determinable fair values for the years ended December 31, 2025, 2024 and 2023 are as follows:</w:t>
      </w:r>
    </w:p>
    <w:tbl>
      <w:tblPr>
        <w:tblW w:w="8621" w:type="dxa"/>
        <w:jc w:val="center"/>
        <w:tblInd w:w="0" w:type="dxa"/>
        <w:tblLayout w:type="fixed"/>
        <w:tblCellMar>
          <w:top w:w="28" w:type="dxa"/>
          <w:left w:w="28" w:type="dxa"/>
          <w:bottom w:w="28" w:type="dxa"/>
          <w:right w:w="28" w:type="dxa"/>
        </w:tblCellMar>
      </w:tblPr>
      <w:tblGrid>
        <w:gridCol w:w="1657"/>
        <w:gridCol w:w="1456"/>
        <w:gridCol w:w="1461"/>
        <w:gridCol w:w="211"/>
        <w:gridCol w:w="796"/>
        <w:gridCol w:w="109"/>
        <w:gridCol w:w="109"/>
        <w:gridCol w:w="109"/>
        <w:gridCol w:w="109"/>
        <w:gridCol w:w="211"/>
        <w:gridCol w:w="796"/>
        <w:gridCol w:w="109"/>
        <w:gridCol w:w="109"/>
        <w:gridCol w:w="109"/>
        <w:gridCol w:w="109"/>
        <w:gridCol w:w="211"/>
        <w:gridCol w:w="79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pre-tax gains, net, for equity securities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pre-tax losses, net, on equity securities held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losses, net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pre-tax gains and losses on equity securities without readily determinable fair values, realized and unrealized, are recognized in “Other income, net” in the statement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that are measured at fair value on a recurring basis:</w:t>
      </w:r>
    </w:p>
    <w:tbl>
      <w:tblPr>
        <w:tblW w:w="7680" w:type="dxa"/>
        <w:jc w:val="left"/>
        <w:tblInd w:w="0" w:type="dxa"/>
        <w:tblLayout w:type="fixed"/>
        <w:tblCellMar>
          <w:top w:w="28" w:type="dxa"/>
          <w:left w:w="28" w:type="dxa"/>
          <w:bottom w:w="28" w:type="dxa"/>
          <w:right w:w="28" w:type="dxa"/>
        </w:tblCellMar>
      </w:tblPr>
      <w:tblGrid>
        <w:gridCol w:w="829"/>
        <w:gridCol w:w="730"/>
        <w:gridCol w:w="736"/>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1"/>
        <w:gridCol w:w="97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br/>
              <w:t>Measurements</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(a)</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ind w:left="0" w:right="0" w:hanging="360"/>
        <w:jc w:val="left"/>
        <w:rPr/>
      </w:pPr>
      <w:r>
        <w:rPr>
          <w:rFonts w:ascii="Times New Roman;serif" w:hAnsi="Times New Roman;serif"/>
          <w:b w:val="false"/>
          <w:color w:val="000000"/>
          <w:sz w:val="13"/>
        </w:rPr>
        <w:t>(a)</w:t>
      </w:r>
      <w:r>
        <w:rPr>
          <w:color w:val="000000"/>
        </w:rPr>
        <w:t>    </w:t>
      </w:r>
      <w:r>
        <w:rPr>
          <w:rFonts w:ascii="Times New Roman;serif" w:hAnsi="Times New Roman;serif"/>
          <w:b w:val="false"/>
          <w:color w:val="000000"/>
          <w:sz w:val="16"/>
        </w:rPr>
        <w:t>The fair value of Interest Rate Swaps was determined using DCF derived from observable market prices, including swap curves, which are Level 2 inputs. See “</w:t>
      </w:r>
      <w:hyperlink w:anchor="i6619b59be68b4f7a9428d08547de7a6a_70">
        <w:r>
          <w:rPr>
            <w:rStyle w:val="InternetLink"/>
            <w:rFonts w:ascii="Times New Roman;serif" w:hAnsi="Times New Roman;serif"/>
            <w:b w:val="false"/>
            <w:color w:val="0000FF"/>
            <w:sz w:val="16"/>
            <w:u w:val="single"/>
          </w:rPr>
          <w:t>Note 6—Long-term Debt</w:t>
        </w:r>
      </w:hyperlink>
      <w:r>
        <w:rPr>
          <w:color w:val="000000"/>
        </w:rPr>
        <w:t xml:space="preserve">” </w:t>
      </w:r>
      <w:r>
        <w:rPr>
          <w:rFonts w:ascii="Times New Roman;serif" w:hAnsi="Times New Roman;serif"/>
          <w:b w:val="false"/>
          <w:color w:val="000000"/>
          <w:sz w:val="16"/>
        </w:rPr>
        <w:t xml:space="preserve">for additional information. </w:t>
      </w:r>
    </w:p>
    <w:tbl>
      <w:tblPr>
        <w:tblW w:w="7935" w:type="dxa"/>
        <w:jc w:val="left"/>
        <w:tblInd w:w="0" w:type="dxa"/>
        <w:tblLayout w:type="fixed"/>
        <w:tblCellMar>
          <w:top w:w="28" w:type="dxa"/>
          <w:left w:w="28" w:type="dxa"/>
          <w:bottom w:w="28" w:type="dxa"/>
          <w:right w:w="28" w:type="dxa"/>
        </w:tblCellMar>
      </w:tblPr>
      <w:tblGrid>
        <w:gridCol w:w="921"/>
        <w:gridCol w:w="811"/>
        <w:gridCol w:w="818"/>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1"/>
        <w:gridCol w:w="97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br/>
              <w:t>Measurements</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Retirement investment fund</w:t>
            </w:r>
            <w:r>
              <w:rPr>
                <w:rFonts w:ascii="Times New Roman;serif" w:hAnsi="Times New Roman;serif"/>
                <w:b w:val="false"/>
                <w:color w:val="000000"/>
                <w:sz w:val="13"/>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ind w:left="0" w:right="0" w:hanging="360"/>
        <w:jc w:val="left"/>
        <w:rPr/>
      </w:pPr>
      <w:r>
        <w:rPr>
          <w:rFonts w:ascii="Times New Roman;serif" w:hAnsi="Times New Roman;serif"/>
          <w:b w:val="false"/>
          <w:color w:val="000000"/>
          <w:sz w:val="13"/>
        </w:rPr>
        <w:t>(b)</w:t>
      </w:r>
      <w:r>
        <w:rPr>
          <w:color w:val="000000"/>
        </w:rPr>
        <w:t>    </w:t>
      </w:r>
      <w:r>
        <w:rPr>
          <w:rFonts w:ascii="Times New Roman;serif" w:hAnsi="Times New Roman;serif"/>
          <w:b w:val="false"/>
          <w:color w:val="000000"/>
          <w:sz w:val="16"/>
        </w:rPr>
        <w:t>See “</w:t>
      </w:r>
      <w:hyperlink w:anchor="i6619b59be68b4f7a9428d08547de7a6a_91">
        <w:r>
          <w:rPr>
            <w:rStyle w:val="InternetLink"/>
            <w:rFonts w:ascii="Times New Roman;serif" w:hAnsi="Times New Roman;serif"/>
            <w:b w:val="false"/>
            <w:color w:val="0000FF"/>
            <w:sz w:val="16"/>
            <w:u w:val="single"/>
          </w:rPr>
          <w:t>Note 11—Pension and Post-Retirement Benefit Plans</w:t>
        </w:r>
      </w:hyperlink>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Warrant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owns preferred shares of Turo, a peer-to-peer car sharing marketplace, which are accounted for as an equity security without a readily determinable fair value, as the preferred shares are not common stock equivalents. As part of the Company’s original investment in Turo preferred shares, the Company received a warrant that was recorded at fair value each reporting period with any change in fair value included in “Other income, net” in the statement of operations. The warrant was measured using significant unobservable inputs and classified in the fair value hierarchy table as Level 3. The Company net settled its Turo warrant on July 23, 2024 (the warrant expiration date) for 4.5 million shares of Series E-2 preferred stock and the fair value of the warrant of $70.0 million was reclassified to equity securities without readily determinable fair values. The Company had measured this warrant at fair value at June 30, 2024 using the settlement value of the shares received pursuant to its net exercise on July 23, 2024.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warrant, which was measured at fair value on a recurring basis using significant unobservable inputs (Level 3):</w:t>
      </w:r>
    </w:p>
    <w:tbl>
      <w:tblPr>
        <w:tblW w:w="7194" w:type="dxa"/>
        <w:jc w:val="left"/>
        <w:tblInd w:w="0" w:type="dxa"/>
        <w:tblLayout w:type="fixed"/>
        <w:tblCellMar>
          <w:top w:w="28" w:type="dxa"/>
          <w:left w:w="28" w:type="dxa"/>
          <w:bottom w:w="28" w:type="dxa"/>
          <w:right w:w="28" w:type="dxa"/>
        </w:tblCellMar>
      </w:tblPr>
      <w:tblGrid>
        <w:gridCol w:w="1324"/>
        <w:gridCol w:w="1166"/>
        <w:gridCol w:w="1170"/>
        <w:gridCol w:w="109"/>
        <w:gridCol w:w="109"/>
        <w:gridCol w:w="109"/>
        <w:gridCol w:w="109"/>
        <w:gridCol w:w="109"/>
        <w:gridCol w:w="109"/>
        <w:gridCol w:w="109"/>
        <w:gridCol w:w="109"/>
        <w:gridCol w:w="486"/>
        <w:gridCol w:w="1662"/>
        <w:gridCol w:w="251"/>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Financial instruments measured at fair value only for disclosure purposes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outstanding long-term debt, including the current portion, is estimated using observable market prices or indices for similar liabilities, which are Level 2 inputs, and was approximately $1.33 billion and $1.49 billion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4—GOODWILL AND INTANGIBLE ASSETS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 are as follows:</w:t>
      </w:r>
    </w:p>
    <w:tbl>
      <w:tblPr>
        <w:tblW w:w="8664" w:type="dxa"/>
        <w:jc w:val="left"/>
        <w:tblInd w:w="0" w:type="dxa"/>
        <w:tblLayout w:type="fixed"/>
        <w:tblCellMar>
          <w:top w:w="28" w:type="dxa"/>
          <w:left w:w="28" w:type="dxa"/>
          <w:bottom w:w="28" w:type="dxa"/>
          <w:right w:w="28" w:type="dxa"/>
        </w:tblCellMar>
      </w:tblPr>
      <w:tblGrid>
        <w:gridCol w:w="2065"/>
        <w:gridCol w:w="1809"/>
        <w:gridCol w:w="1826"/>
        <w:gridCol w:w="211"/>
        <w:gridCol w:w="976"/>
        <w:gridCol w:w="109"/>
        <w:gridCol w:w="109"/>
        <w:gridCol w:w="109"/>
        <w:gridCol w:w="109"/>
        <w:gridCol w:w="211"/>
        <w:gridCol w:w="976"/>
        <w:gridCol w:w="154"/>
      </w:tblGrid>
      <w:tr>
        <w:trPr/>
        <w:tc>
          <w:tcPr>
            <w:tcW w:w="206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indefinite lives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definite lives, net of accumulated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605" cy="14605"/>
                <wp:effectExtent l="0" t="0" r="0" b="0"/>
                <wp:wrapNone/>
                <wp:docPr id="66" name="Frame6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goodwill by reportable segment, including the changes in the carrying value of goodwill and accumulated impairment losses, for the year ended December 31, 2025:</w:t>
      </w:r>
    </w:p>
    <w:tbl>
      <w:tblPr>
        <w:tblW w:w="10205" w:type="dxa"/>
        <w:jc w:val="left"/>
        <w:tblInd w:w="0" w:type="dxa"/>
        <w:tblLayout w:type="fixed"/>
        <w:tblCellMar>
          <w:top w:w="28" w:type="dxa"/>
          <w:left w:w="28" w:type="dxa"/>
          <w:bottom w:w="28" w:type="dxa"/>
          <w:right w:w="28" w:type="dxa"/>
        </w:tblCellMar>
      </w:tblPr>
      <w:tblGrid>
        <w:gridCol w:w="531"/>
        <w:gridCol w:w="355"/>
        <w:gridCol w:w="358"/>
        <w:gridCol w:w="290"/>
        <w:gridCol w:w="1342"/>
        <w:gridCol w:w="149"/>
        <w:gridCol w:w="109"/>
        <w:gridCol w:w="109"/>
        <w:gridCol w:w="109"/>
        <w:gridCol w:w="211"/>
        <w:gridCol w:w="616"/>
        <w:gridCol w:w="109"/>
        <w:gridCol w:w="109"/>
        <w:gridCol w:w="109"/>
        <w:gridCol w:w="109"/>
        <w:gridCol w:w="109"/>
        <w:gridCol w:w="109"/>
        <w:gridCol w:w="109"/>
        <w:gridCol w:w="109"/>
        <w:gridCol w:w="109"/>
        <w:gridCol w:w="109"/>
        <w:gridCol w:w="109"/>
        <w:gridCol w:w="109"/>
        <w:gridCol w:w="290"/>
        <w:gridCol w:w="1342"/>
        <w:gridCol w:w="149"/>
        <w:gridCol w:w="109"/>
        <w:gridCol w:w="109"/>
        <w:gridCol w:w="109"/>
        <w:gridCol w:w="439"/>
        <w:gridCol w:w="1845"/>
        <w:gridCol w:w="326"/>
      </w:tblGrid>
      <w:tr>
        <w:trPr/>
        <w:tc>
          <w:tcPr>
            <w:tcW w:w="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Losses at December 31, 2025</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5263" w:type="dxa"/>
            <w:gridSpan w:val="14"/>
            <w:tcBorders/>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1,503,266 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1,502,406 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1,508,030 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addition at People Inc. Digital is due to the acquisition of Feedfeed on October 1, 2025. The allocation of the purchase price to the assets acquired and liabilities assumed is still in process of being assessed and is expected to be completed in the first quarter of 2026. </w:t>
      </w:r>
    </w:p>
    <w:p>
      <w:pPr>
        <w:pStyle w:val="TextBody"/>
        <w:bidi w:val="0"/>
        <w:spacing w:lineRule="auto" w:line="268" w:before="240" w:after="240"/>
        <w:ind w:left="0" w:right="0" w:firstLine="450"/>
        <w:jc w:val="left"/>
        <w:rPr/>
      </w:pPr>
      <w:r>
        <w:rPr>
          <w:rFonts w:ascii="Times New Roman;serif" w:hAnsi="Times New Roman;serif"/>
          <w:b w:val="false"/>
          <w:color w:val="000000"/>
          <w:sz w:val="20"/>
        </w:rPr>
        <w:t>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 xml:space="preserve">for discussion of the Company’s assessments of impairment of goodwill. </w:t>
      </w:r>
    </w:p>
    <w:p>
      <w:pPr>
        <w:pStyle w:val="TextBody"/>
        <w:bidi w:val="0"/>
        <w:spacing w:lineRule="auto" w:line="268" w:before="240" w:after="240"/>
        <w:ind w:left="0" w:right="0" w:firstLine="450"/>
        <w:jc w:val="left"/>
        <w:rPr/>
      </w:pPr>
      <w:r>
        <w:rPr>
          <w:rFonts w:ascii="Times New Roman;serif" w:hAnsi="Times New Roman;serif"/>
          <w:b w:val="false"/>
          <w:color w:val="000000"/>
          <w:sz w:val="20"/>
        </w:rPr>
        <w:t>The following table presents the balance of goodwill by reportable segment, including the changes in the carrying value of goodwill and accumulated impairment losses, for the year ended December 31, 2024</w:t>
      </w:r>
      <w:r>
        <w:rPr>
          <w:rFonts w:ascii="Times New Roman;serif" w:hAnsi="Times New Roman;serif"/>
          <w:b/>
          <w:color w:val="000000"/>
          <w:sz w:val="16"/>
        </w:rPr>
        <w:t>:</w:t>
      </w:r>
    </w:p>
    <w:tbl>
      <w:tblPr>
        <w:tblW w:w="9373" w:type="dxa"/>
        <w:jc w:val="left"/>
        <w:tblInd w:w="0" w:type="dxa"/>
        <w:tblLayout w:type="fixed"/>
        <w:tblCellMar>
          <w:top w:w="28" w:type="dxa"/>
          <w:left w:w="28" w:type="dxa"/>
          <w:bottom w:w="28" w:type="dxa"/>
          <w:right w:w="28" w:type="dxa"/>
        </w:tblCellMar>
      </w:tblPr>
      <w:tblGrid>
        <w:gridCol w:w="582"/>
        <w:gridCol w:w="509"/>
        <w:gridCol w:w="513"/>
        <w:gridCol w:w="244"/>
        <w:gridCol w:w="1130"/>
        <w:gridCol w:w="126"/>
        <w:gridCol w:w="109"/>
        <w:gridCol w:w="109"/>
        <w:gridCol w:w="109"/>
        <w:gridCol w:w="109"/>
        <w:gridCol w:w="109"/>
        <w:gridCol w:w="211"/>
        <w:gridCol w:w="901"/>
        <w:gridCol w:w="109"/>
        <w:gridCol w:w="109"/>
        <w:gridCol w:w="109"/>
        <w:gridCol w:w="109"/>
        <w:gridCol w:w="109"/>
        <w:gridCol w:w="109"/>
        <w:gridCol w:w="109"/>
        <w:gridCol w:w="109"/>
        <w:gridCol w:w="109"/>
        <w:gridCol w:w="109"/>
        <w:gridCol w:w="244"/>
        <w:gridCol w:w="1130"/>
        <w:gridCol w:w="126"/>
        <w:gridCol w:w="109"/>
        <w:gridCol w:w="109"/>
        <w:gridCol w:w="109"/>
        <w:gridCol w:w="282"/>
        <w:gridCol w:w="1207"/>
        <w:gridCol w:w="206"/>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December 31, 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Impairment Losses at</w:t>
              <w:br/>
              <w:t>December 31, 2024</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067" w:type="dxa"/>
            <w:gridSpan w:val="14"/>
            <w:tcBorders/>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1,646,987 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1,502,406 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(198,329)</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Deductions at Emerging &amp; Other are due to the sale of assets of Mosaic Group on February 15, 2024. </w:t>
      </w:r>
    </w:p>
    <w:p>
      <w:pPr>
        <w:pStyle w:val="TextBody"/>
        <w:bidi w:val="0"/>
        <w:spacing w:lineRule="auto" w:line="26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intangible assets with definite lives are as follows:</w:t>
      </w:r>
    </w:p>
    <w:tbl>
      <w:tblPr>
        <w:tblW w:w="8215" w:type="dxa"/>
        <w:jc w:val="left"/>
        <w:tblInd w:w="0" w:type="dxa"/>
        <w:tblLayout w:type="fixed"/>
        <w:tblCellMar>
          <w:top w:w="28" w:type="dxa"/>
          <w:left w:w="28" w:type="dxa"/>
          <w:bottom w:w="28" w:type="dxa"/>
          <w:right w:w="28" w:type="dxa"/>
        </w:tblCellMar>
      </w:tblPr>
      <w:tblGrid>
        <w:gridCol w:w="799"/>
        <w:gridCol w:w="702"/>
        <w:gridCol w:w="704"/>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444"/>
        <w:gridCol w:w="444"/>
        <w:gridCol w:w="62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Useful Life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Licensee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8064" w:type="dxa"/>
        <w:jc w:val="left"/>
        <w:tblInd w:w="0" w:type="dxa"/>
        <w:tblLayout w:type="fixed"/>
        <w:tblCellMar>
          <w:top w:w="28" w:type="dxa"/>
          <w:left w:w="28" w:type="dxa"/>
          <w:bottom w:w="28" w:type="dxa"/>
          <w:right w:w="28" w:type="dxa"/>
        </w:tblCellMar>
      </w:tblPr>
      <w:tblGrid>
        <w:gridCol w:w="744"/>
        <w:gridCol w:w="654"/>
        <w:gridCol w:w="656"/>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444"/>
        <w:gridCol w:w="444"/>
        <w:gridCol w:w="628"/>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Useful Life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Licensee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76"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amortization of intangible assets with definite lives for each of the next five years and thereafter is estimated to be as follows:</w:t>
      </w:r>
    </w:p>
    <w:tbl>
      <w:tblPr>
        <w:tblW w:w="3260" w:type="dxa"/>
        <w:jc w:val="left"/>
        <w:tblInd w:w="0" w:type="dxa"/>
        <w:tblLayout w:type="fixed"/>
        <w:tblCellMar>
          <w:top w:w="28" w:type="dxa"/>
          <w:left w:w="28" w:type="dxa"/>
          <w:bottom w:w="28" w:type="dxa"/>
          <w:right w:w="28" w:type="dxa"/>
        </w:tblCellMar>
      </w:tblPr>
      <w:tblGrid>
        <w:gridCol w:w="749"/>
        <w:gridCol w:w="658"/>
        <w:gridCol w:w="662"/>
        <w:gridCol w:w="211"/>
        <w:gridCol w:w="82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5—LEASES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primarily leases office space used in connection with its operations under various operating leases, the majority of which contain escalation clauses.</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ROU assets represent the Company’s right to use the underlying assets for the lease term and lease liabilities represent the present value of the Company’s obligation to make payments arising from these leases. ROU assets and related lease liabilities are based on the present value of fixed lease payments over the lease term using the Company’s and People Inc.’s respective incremental borrowing rates on the lease commencement date or the date of acquisition for any leases acquired in connection with a business combination. The Company combines the lease and non-lease components of lease payments in determining ROU assets and related lease liabilities. If the lease includes one or more options to extend the term of the lease, the renewal option is considered in the lease term if it is reasonably certain the Company will exercise the option(s). Lease expense is recognized on a straight-line basis over the term of the lease. As permitted by ASC Topic 842, </w:t>
      </w:r>
      <w:r>
        <w:rPr>
          <w:rFonts w:ascii="Times New Roman;serif" w:hAnsi="Times New Roman;serif"/>
          <w:b w:val="false"/>
          <w:i/>
          <w:color w:val="000000"/>
          <w:sz w:val="20"/>
        </w:rPr>
        <w:t>Leases</w:t>
      </w:r>
      <w:r>
        <w:rPr>
          <w:rFonts w:ascii="Times New Roman;serif" w:hAnsi="Times New Roman;serif"/>
          <w:b w:val="false"/>
          <w:color w:val="000000"/>
          <w:sz w:val="20"/>
        </w:rPr>
        <w:t>, leases with an initial term of twelve months or less (“short-term leases”) are not recorded on the balance sheet.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Variable lease payments consist primarily of common area maintenance, utilities and taxes, which are not included in the recognition of ROU assets and related lease liabilities. The Company’s lease agreements do not contain any material residual value guarantees or material restrictive covenants.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of ROU assets and lease liabilities within the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377"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1269"/>
        <w:gridCol w:w="1269"/>
        <w:gridCol w:w="1272"/>
        <w:gridCol w:w="109"/>
        <w:gridCol w:w="109"/>
        <w:gridCol w:w="109"/>
        <w:gridCol w:w="211"/>
        <w:gridCol w:w="826"/>
        <w:gridCol w:w="109"/>
        <w:gridCol w:w="109"/>
        <w:gridCol w:w="109"/>
        <w:gridCol w:w="109"/>
        <w:gridCol w:w="211"/>
        <w:gridCol w:w="82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lease expense within the statement of operations:</w:t>
      </w:r>
    </w:p>
    <w:tbl>
      <w:tblPr>
        <w:tblW w:w="9891" w:type="dxa"/>
        <w:jc w:val="left"/>
        <w:tblInd w:w="0" w:type="dxa"/>
        <w:tblLayout w:type="fixed"/>
        <w:tblCellMar>
          <w:top w:w="28" w:type="dxa"/>
          <w:left w:w="28" w:type="dxa"/>
          <w:bottom w:w="28" w:type="dxa"/>
          <w:right w:w="28" w:type="dxa"/>
        </w:tblCellMar>
      </w:tblPr>
      <w:tblGrid>
        <w:gridCol w:w="871"/>
        <w:gridCol w:w="770"/>
        <w:gridCol w:w="774"/>
        <w:gridCol w:w="109"/>
        <w:gridCol w:w="109"/>
        <w:gridCol w:w="109"/>
        <w:gridCol w:w="999"/>
        <w:gridCol w:w="999"/>
        <w:gridCol w:w="1002"/>
        <w:gridCol w:w="109"/>
        <w:gridCol w:w="109"/>
        <w:gridCol w:w="109"/>
        <w:gridCol w:w="211"/>
        <w:gridCol w:w="616"/>
        <w:gridCol w:w="109"/>
        <w:gridCol w:w="109"/>
        <w:gridCol w:w="109"/>
        <w:gridCol w:w="109"/>
        <w:gridCol w:w="211"/>
        <w:gridCol w:w="721"/>
        <w:gridCol w:w="109"/>
        <w:gridCol w:w="109"/>
        <w:gridCol w:w="109"/>
        <w:gridCol w:w="109"/>
        <w:gridCol w:w="211"/>
        <w:gridCol w:w="826"/>
        <w:gridCol w:w="154"/>
      </w:tblGrid>
      <w:tr>
        <w:trPr/>
        <w:tc>
          <w:tcPr>
            <w:tcW w:w="8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fixed lease expense</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76"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 year ended December 31, 2025 includes net gains of $41.5 million resulting from the amendments to a lease, which provided for the surrender of certain office space early and is included in “General and administrative expense” in the statement of operations. The year ended December 31, 2023 includes a $44.7 million lease impairment charge related to certain unoccupied leased office space due to the continued decline in the commercial real estate market, which is included in “General and administrative expense” in the statement of operations. The years ended December 31, 2025, 2024 and 2023 also include (i) $9.6 million, $11.2 million and $10.8 million, respectively, of sublease income, (ii) $0.3 million, $0.1 million and $1.2 million, respectively, of additional lease impairments and (iii) $0.5 million, $0.6 million and $1.1 million, respectively, of short-term lease expense. The years ended December 31, 2025 and 2023 also include $(0.1) million and $(0.4) million, respectively, of additional net (losses) gains on terminations of leases. See “</w:t>
      </w:r>
      <w:hyperlink w:anchor="i6619b59be68b4f7a9428d08547de7a6a_55">
        <w:r>
          <w:rPr>
            <w:rStyle w:val="InternetLink"/>
            <w:rFonts w:ascii="Times New Roman;serif" w:hAnsi="Times New Roman;serif"/>
            <w:b w:val="false"/>
            <w:color w:val="0000FF"/>
            <w:sz w:val="16"/>
            <w:u w:val="single"/>
          </w:rPr>
          <w:t>Note 2—Summary of Significant Accounting Policies</w:t>
        </w:r>
      </w:hyperlink>
      <w:r>
        <w:rPr>
          <w:color w:val="000000"/>
        </w:rPr>
        <w:t xml:space="preserve">” </w:t>
      </w:r>
      <w:r>
        <w:rPr>
          <w:rFonts w:ascii="Times New Roman;serif" w:hAnsi="Times New Roman;serif"/>
          <w:b w:val="false"/>
          <w:color w:val="000000"/>
          <w:sz w:val="16"/>
        </w:rPr>
        <w:t>for additional information on the amendments of lease agreements and impairment charges of ROU assets.</w:t>
      </w:r>
    </w:p>
    <w:p>
      <w:pPr>
        <w:pStyle w:val="TextBody"/>
        <w:bidi w:val="0"/>
        <w:spacing w:lineRule="auto" w:line="288" w:before="240" w:after="240"/>
        <w:ind w:left="0" w:right="0" w:firstLine="450"/>
        <w:jc w:val="left"/>
        <w:rPr/>
      </w:pPr>
      <w:r>
        <w:rPr>
          <w:rFonts w:ascii="Times New Roman;serif" w:hAnsi="Times New Roman;serif"/>
          <w:b w:val="false"/>
          <w:color w:val="000000"/>
          <w:sz w:val="20"/>
        </w:rPr>
        <w:t>Maturities of lease liabilities at December 31, 2025</w:t>
      </w: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are summarized below:</w:t>
      </w:r>
    </w:p>
    <w:tbl>
      <w:tblPr>
        <w:tblW w:w="4203" w:type="dxa"/>
        <w:jc w:val="center"/>
        <w:tblInd w:w="0" w:type="dxa"/>
        <w:tblLayout w:type="fixed"/>
        <w:tblCellMar>
          <w:top w:w="28" w:type="dxa"/>
          <w:left w:w="28" w:type="dxa"/>
          <w:bottom w:w="28" w:type="dxa"/>
          <w:right w:w="28" w:type="dxa"/>
        </w:tblCellMar>
      </w:tblPr>
      <w:tblGrid>
        <w:gridCol w:w="971"/>
        <w:gridCol w:w="855"/>
        <w:gridCol w:w="85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At December 31, 2025, there were no legally binding minimum lease payments for leases signed but not yet commenced.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are the weighted average assumptions used for lease term and discount rate:</w:t>
      </w:r>
    </w:p>
    <w:tbl>
      <w:tblPr>
        <w:tblW w:w="4259" w:type="dxa"/>
        <w:jc w:val="center"/>
        <w:tblInd w:w="0" w:type="dxa"/>
        <w:tblLayout w:type="fixed"/>
        <w:tblCellMar>
          <w:top w:w="28" w:type="dxa"/>
          <w:left w:w="28" w:type="dxa"/>
          <w:bottom w:w="28" w:type="dxa"/>
          <w:right w:w="28" w:type="dxa"/>
        </w:tblCellMar>
      </w:tblPr>
      <w:tblGrid>
        <w:gridCol w:w="679"/>
        <w:gridCol w:w="597"/>
        <w:gridCol w:w="598"/>
        <w:gridCol w:w="109"/>
        <w:gridCol w:w="109"/>
        <w:gridCol w:w="109"/>
        <w:gridCol w:w="273"/>
        <w:gridCol w:w="273"/>
        <w:gridCol w:w="279"/>
        <w:gridCol w:w="121"/>
        <w:gridCol w:w="121"/>
        <w:gridCol w:w="121"/>
        <w:gridCol w:w="253"/>
        <w:gridCol w:w="253"/>
        <w:gridCol w:w="36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years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 years</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the supplemental cash flow information:</w:t>
      </w:r>
    </w:p>
    <w:tbl>
      <w:tblPr>
        <w:tblW w:w="10133" w:type="dxa"/>
        <w:jc w:val="center"/>
        <w:tblInd w:w="0" w:type="dxa"/>
        <w:tblLayout w:type="fixed"/>
        <w:tblCellMar>
          <w:top w:w="28" w:type="dxa"/>
          <w:left w:w="28" w:type="dxa"/>
          <w:bottom w:w="28" w:type="dxa"/>
          <w:right w:w="28" w:type="dxa"/>
        </w:tblCellMar>
      </w:tblPr>
      <w:tblGrid>
        <w:gridCol w:w="2100"/>
        <w:gridCol w:w="1849"/>
        <w:gridCol w:w="1855"/>
        <w:gridCol w:w="109"/>
        <w:gridCol w:w="109"/>
        <w:gridCol w:w="109"/>
        <w:gridCol w:w="211"/>
        <w:gridCol w:w="826"/>
        <w:gridCol w:w="109"/>
        <w:gridCol w:w="109"/>
        <w:gridCol w:w="109"/>
        <w:gridCol w:w="109"/>
        <w:gridCol w:w="211"/>
        <w:gridCol w:w="721"/>
        <w:gridCol w:w="109"/>
        <w:gridCol w:w="109"/>
        <w:gridCol w:w="109"/>
        <w:gridCol w:w="109"/>
        <w:gridCol w:w="211"/>
        <w:gridCol w:w="79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ROU assets due to termination or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6—LONG-TERM DEBT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long-term debt is a liability of People Inc. and consists of:</w:t>
      </w:r>
    </w:p>
    <w:tbl>
      <w:tblPr>
        <w:tblW w:w="10205" w:type="dxa"/>
        <w:jc w:val="left"/>
        <w:tblInd w:w="0" w:type="dxa"/>
        <w:tblLayout w:type="fixed"/>
        <w:tblCellMar>
          <w:top w:w="28" w:type="dxa"/>
          <w:left w:w="28" w:type="dxa"/>
          <w:bottom w:w="28" w:type="dxa"/>
          <w:right w:w="28" w:type="dxa"/>
        </w:tblCellMar>
      </w:tblPr>
      <w:tblGrid>
        <w:gridCol w:w="2649"/>
        <w:gridCol w:w="2288"/>
        <w:gridCol w:w="2302"/>
        <w:gridCol w:w="211"/>
        <w:gridCol w:w="976"/>
        <w:gridCol w:w="109"/>
        <w:gridCol w:w="109"/>
        <w:gridCol w:w="109"/>
        <w:gridCol w:w="109"/>
        <w:gridCol w:w="211"/>
        <w:gridCol w:w="976"/>
        <w:gridCol w:w="156"/>
      </w:tblGrid>
      <w:tr>
        <w:trPr/>
        <w:tc>
          <w:tcPr>
            <w:tcW w:w="264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 due May 14,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B-2 due June 16,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7.625% Senior Secured Notes due June 15, 2032; interest payable each June 15 and December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December 1,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December 1,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26, 2024, People Inc. entered into Amendment No. 1 to the Credit Agreement (“Amendment No. 1”), which governed both the Term Loan A and the then existing revolving credit facility, and replaced $1.18 billion of the then outstanding Term Loan B principal with an equal amount of the Term Loan B-1 due December 1, 2028. On May 14, 2025, People Inc. entered into the Incremental Assumption Agreement and Amendment No. 2 to the Credit Agreement (“Amendment No. 2”), which (1) replaced $288.8 million of the then outstanding Term Loan A due December 1, 2026 with $350 million of the Term Loan A-1 and (2) provided for a new five-year $150 million revolving credit facility (“Revolving Facility”) that expires on May 14, 2030, which replaced the then existing revolving credit facility that would have expired on December 1, 2026. On June 16, 2025, People Inc. completed the refinancing and replacement of its then outstanding $1.18 billion Term Loan B-1 due December 1, 2028 with a combination of $700 million of the Term Loan B-2 and $400 million of the 7.625% Senior Secured Notes due June 15, 2032 (“2032 Notes”). On June 16, 2025, People Inc. also entered into an indenture that governs the 2032 Notes (the “Indenture”) and the Credit Agreement and Second Amendment to the Security Agreement (“Amendment No. 3”), which governs the new Term Loan A-1, Term Loan B-2 and Revolving Facility. The Term Loan A, Term Loan A-1, Term Loan B, Term Loan B-1 and Term Loan B-2 are collectively referred to herein as the “Term Loans.” In addition to extending the maturity dates of People Inc.’s debt, the refinancing transactions resulted in a net decrease in debt of $21.3 million, which was funded by cash on hand.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People Inc. recorded an extinguishment loss of $8.5 million to write off a pro-rata amount of unamortized capitalized costs and the original issue discount related to the previously outstanding Term Loans and the then existing revolving credit facility as a result of the refinancing transactions. Debt issuance costs and original issuance discount related to the refinancing transactions of $12.9 million and $3.5 million, respectively, were recorded and are presented as a reduction of the carrying value of the related debt in the balance sheet. The deferred financing costs of $0.8 million related to the Revolving Facility were capitalized and are included in “Other non-current assets” in the balance sheet. The extinguishment loss is recorded in “Interest expense” in the statement of operations. Fees incurred of $0.6 million that did not qualify for capitalization are recorded in “Other income, net” in the statement of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has never made any borrowings under any of its revolving credit facilities. The annual commitment fee on undrawn funds is based on People Inc.’s most recently reported consolidated net leverage ratio, as defined in the governing agreements, and was 35 and 40 basis points at December 31, 2025 and 2024, respectively. Any borrowings under the Revolving Facility would bear interest, at People Inc.’s option, at either a base rate or SOFR, plus an applicable margin, which is based on People Inc.’s consolidated net leverage ratio.</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last day of any calendar quarter, subject to certain exemptions and increases for qualifying material acquisitions, the governing agreements require People Inc. to maintain a consolidated net leverage ratio as of the last day of such quarter of no greater than 5.5 to 1.0, all as defined in the governing agreements. The governing agreements contain additional covenants that would limit People Inc.’s ability to pay dividends, incur incremental secured indebtedness or make distributions or certain investments in the event a default has occurred or if People Inc.’s consolidated net leverage ratio exceeds 4.0 to 1.0, subject to certain available amounts, all as defined in the governing agreements. As a result, the Company may not be able to freely access People Inc.’s cash. People Inc.’s consolidated net leverage ratio was less than 4.0 to 1.0 for the test periods ended December 31, 2025 and 2024.</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During the years ended December 31, 2025, 2024 and 2023, the Company made total contributions of $135 million, $125 million and $510 million, respectively, to People Inc. Each of these payments occurred immediately prior to the end of a quarter, thereby improving the consolidated net leverage ratios. These amounts were distributed to the Company by People Inc. early in the subsequent quarter. There were no contributions by the Company in the quarters ended December 31, 2025 and 2024. In January 2024, People Inc. distributed $105 million to the Company related to the Company’s contribution in December 2023. The consolidated net leverage ratio during 2025 was less than 4.0 to 1.0 when calculated with or without the contributions during 2025. The consolidated net leverage ratio during 2024 and 2023 was greater than 4.0 to 1.0 but less than 5.5 to 1.0 when calculated with or without the contributions during 2024 and 2023.</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obligations under the governing agreements are guaranteed by certain of People Inc.’s wholly-owned domestic subsidiaries and are secured by substantially all of the assets of People Inc. and those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Long-term Debt Maturities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Term Loan A-1 requires quarterly principal payments, which commenced September 30, 2025, of $4.4 million through December 31, 2027, $8.8 million thereafter through December 31, 2028 and $13.1 million thereafter through maturity. The Term Loan B-2 requires quarterly principal payments of $1.8 million commencing March 31, 2026 through maturity. Annually, the Term Loan B-2 may require additional principal payments as part of an excess cash flow sweep provision, the amount of which is determined, in part, by People Inc.’s applicable net leverage ratio and is further subject to the excess cash flow exceeding certain thresholds as defined in the governing agreements. No such payment was required on the Term Loan B-1 related to the periods ended December 31, 2025 and 2024.</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maturities at December 31, 2025 are summarized in the table below:</w:t>
      </w:r>
    </w:p>
    <w:tbl>
      <w:tblPr>
        <w:tblW w:w="4596" w:type="dxa"/>
        <w:jc w:val="left"/>
        <w:tblInd w:w="0" w:type="dxa"/>
        <w:tblLayout w:type="fixed"/>
        <w:tblCellMar>
          <w:top w:w="28" w:type="dxa"/>
          <w:left w:w="28" w:type="dxa"/>
          <w:bottom w:w="28" w:type="dxa"/>
          <w:right w:w="28" w:type="dxa"/>
        </w:tblCellMar>
      </w:tblPr>
      <w:tblGrid>
        <w:gridCol w:w="1176"/>
        <w:gridCol w:w="1038"/>
        <w:gridCol w:w="1041"/>
        <w:gridCol w:w="211"/>
        <w:gridCol w:w="976"/>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 xml:space="preserve">Year Ending December 31,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time prior to June 15, 2028, People Inc. may redeem all or a part of the 2032 Notes, by providing notice pursuant to the Indenture, at a redemption price equal to 100% of the principal amount of the 2032 Notes to be redeemed plus the applicable premium, as defined in the Indenture, and accrued and unpaid interest, if any, to, but not including, the date of redemption. On and after June 15, 2028, the 2032 Notes may be redeemed at the prices set forth below (expressed as percentages of principal amount of the 2032 Notes to be redeemed), plus accrued and unpaid interest thereon, if any, to, but not including, the applicable redemption date, if redeemed during the twelve-month period beginning on June 15 of the years indicated below:</w:t>
      </w:r>
    </w:p>
    <w:tbl>
      <w:tblPr>
        <w:tblW w:w="2684" w:type="dxa"/>
        <w:jc w:val="left"/>
        <w:tblInd w:w="0" w:type="dxa"/>
        <w:tblLayout w:type="fixed"/>
        <w:tblCellMar>
          <w:top w:w="28" w:type="dxa"/>
          <w:left w:w="28" w:type="dxa"/>
          <w:bottom w:w="28" w:type="dxa"/>
          <w:right w:w="28" w:type="dxa"/>
        </w:tblCellMar>
      </w:tblPr>
      <w:tblGrid>
        <w:gridCol w:w="610"/>
        <w:gridCol w:w="537"/>
        <w:gridCol w:w="547"/>
        <w:gridCol w:w="289"/>
        <w:gridCol w:w="289"/>
        <w:gridCol w:w="412"/>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Percentage</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103.813%</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101.906%</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June 15, 2028, during each twelve-month period commencing with June 16, 2025, up to 10% of the aggregate principal amount of the 2032 Notes may be redeemed at a redemption price equal to 103.0% of the aggregate principal amount thereof, plus accrued and unpaid interest, if any, to, but excluding, the applicable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Rates and Interest Rate Swaps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effectiveness of Amendment No. 2 and Amendment No. 3, the Term Loan A bore interest at an adjusted term SOFR plus an applicable margin depending on the People Inc.’s most recently reported consolidated net leverage ratio, each as defined in the governing agreements. The adjustment to SOFR was fixed at 0.10% under Amendment No. 1, and such adjustment was removed upon the execution of Amendment No. 2. At December 31, 2025, the Term Loan A-1 bore interest at SOFR plus 2.00%, or 5.73%. At December 31, 2024, the Term Loan A bore interest at an adjusted term SOFR plus 2.25%, or 6.94%. At December 31, 2025 and 2024, the Term Loan B-2 and the Term Loan B-1, respectively, bore interest at SOFR, subject to a minimum of 0.50%, plus 3.50%, or 7.37% and 8.05%, respectively, as the applicable margin was unchanged under the governing agreements. Interest payments are due at least quarterly through the respective maturity dates of the Term Loans.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Rate Swaps synthetically convert a portion of the Term Loan B-2 and, prior to the effectiveness of Amendment No. 3, the Term Loan B-1, from a variable rate to a fixed rate.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7—SHAREHOLDERS' EQUITY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Description of Common Stock and Class B Convertible Common Stock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Except as described herein, shares of People Incorporated common stock and People Incorporated Class B common stock are identical.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holders of shares of People Incorporated common stock and People Incorporated Class B common stock vote together as a single class with respect to matters that may be submitted to a vote or for the consent of the Company’s shareholders generally, including the election of directors. In connection with any such vote, each holder of People Incorporated common stock is entitled to one vote for each share of People Incorporated common stock held and each holder of People Incorporated Class B common stock is entitled to ten votes for each share of People Incorporated Class B common stock held. Notwithstanding the foregoing, the holders of shares of People Incorporated common stock, acting as a single class, are entitled to elect 25% of the total number of the Company’s directors, and, in the event that 25% of the total number of directors shall result in a fraction of a director, then the holders of shares of People Incorporated common stock, acting as a single class, are entitled to elect the next higher whole number of the Company’s directors. In addition, Delaware law requires that certain matters be approved by the holders of shares of People Incorporated common stock or holders of People Incorporated Class B common stock voting as a separate class.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Shares of People Incorporated Class B common stock are convertible into shares of People Incorporated common stock at the option of the holder thereof, at any time, on a share-for-share basis. Such conversion ratio will in all events be equitably preserved in the event of any recapitalization of People Incorporated by means of a stock dividend on, or a stock split or combination of, outstanding shares of People Incorporated common stock or People Incorporated Class B common stock, or in the event of any merger, consolidation or other reorganization of the Company with another corporation. Upon the conversion of shares of People Incorporated Class B common stock into shares of People Incorporated common stock, those shares of People Incorporated Class B common stock will be retired and will not be subject to reissue. Shares of People Incorporated common stock are not convertible into shares of People Incorporated Class B common stock.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holders of shares of People Incorporated common stock and the holders of shares of People Incorporated Class B common stock are entitled to receive, share for share, such dividends as may be declared by the Company’s board of directors out of funds legally available therefor. In the event of a liquidation, dissolution, distribution of assets or winding-up of the Company, the holders of shares of People Incorporated common stock and the holders of shares of People Incorporated Class B common stock are entitled to receive, share for share, all the assets of the Company available for distribution to its stockholders, after the rights of the holders of any People Incorporated preferred stock have been satisfied.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Equity Transactions related to the Angi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7, 2025, the Company's board of directors approved the spin-off of Angi and declared a special dividend of all of the shares of Angi capital stock held by the Company to the holders of People Incorporated common stock, par value $0.0001 per share and People Incorporated Class B common stock, par value $0.0001 per share (collectively referred to herein as “People Incorporated Stock”).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dividend was paid March 31, 2025, through the distribution of shares of Angi Class A common stock, par value $0.001 per share to the holders of record of People Incorporated Stock as of the close of business on March 25, 2025, on a pro rata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number of shares of People Incorporated Stock issued and outstanding and the number of shares of Angi capital stock owned by the Company as of March 25, 2025 and adjusted for the one-for-ten reverse stock split of the Angi Class A common stock that occurred on March 24, 2025, approximately 0.5251 shares of Angi Class A common stock were distributed in respect of each share of People Incorporated Stock held by People Incorporated stockholders.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repurchased 7.7 million shares of its common stock, on a trade date basis, at an average of $41.18 per share, or $316.1 million in aggregate, consisting of the remaining 3.7 million shares of its existing stock repurchase authorization from June of 2020 and 4.0 million shares of the 10 million share repurchase authorization, which was approved by the board of directors of the Company on March 16, 2025 (the “2025 Share Authorization”). The Company did not repurchase any of its common stock during the year ended December 31, 2024. During the year ended December 31, 2023, the Company repurchased 3.2 million shares of its common stock, on a trade date basis, at an average of $51.00 per share, or $165.6 million in aggregate. At December 31, 2025, the Company has 6.0 million shares remaining in its 2025 Share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8—ACCUMULATED OTHER COMPREHENSIVE LOSS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accumulated other comprehensive loss, net of income tax.</w:t>
      </w:r>
    </w:p>
    <w:tbl>
      <w:tblPr>
        <w:tblW w:w="10205" w:type="dxa"/>
        <w:jc w:val="left"/>
        <w:tblInd w:w="0" w:type="dxa"/>
        <w:tblLayout w:type="fixed"/>
        <w:tblCellMar>
          <w:top w:w="28" w:type="dxa"/>
          <w:left w:w="28" w:type="dxa"/>
          <w:bottom w:w="28" w:type="dxa"/>
          <w:right w:w="28" w:type="dxa"/>
        </w:tblCellMar>
      </w:tblPr>
      <w:tblGrid>
        <w:gridCol w:w="1564"/>
        <w:gridCol w:w="1342"/>
        <w:gridCol w:w="1193"/>
        <w:gridCol w:w="375"/>
        <w:gridCol w:w="1383"/>
        <w:gridCol w:w="193"/>
        <w:gridCol w:w="109"/>
        <w:gridCol w:w="109"/>
        <w:gridCol w:w="109"/>
        <w:gridCol w:w="295"/>
        <w:gridCol w:w="931"/>
        <w:gridCol w:w="152"/>
        <w:gridCol w:w="109"/>
        <w:gridCol w:w="109"/>
        <w:gridCol w:w="109"/>
        <w:gridCol w:w="109"/>
        <w:gridCol w:w="109"/>
        <w:gridCol w:w="363"/>
        <w:gridCol w:w="1269"/>
        <w:gridCol w:w="273"/>
      </w:tblGrid>
      <w:tr>
        <w:trPr/>
        <w:tc>
          <w:tcPr>
            <w:tcW w:w="156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2014" w:type="dxa"/>
            <w:gridSpan w:val="4"/>
            <w:tcBorders/>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w:t>
              <w:br/>
              <w:t>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w:t>
              <w:br/>
              <w:t>(Loss) Income</w:t>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014" w:type="dxa"/>
            <w:gridSpan w:val="4"/>
            <w:tcBorders/>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allocated to noncontrolling interests during the period</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of Angi </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087"/>
        <w:gridCol w:w="914"/>
        <w:gridCol w:w="700"/>
        <w:gridCol w:w="289"/>
        <w:gridCol w:w="1044"/>
        <w:gridCol w:w="149"/>
        <w:gridCol w:w="109"/>
        <w:gridCol w:w="109"/>
        <w:gridCol w:w="109"/>
        <w:gridCol w:w="257"/>
        <w:gridCol w:w="752"/>
        <w:gridCol w:w="132"/>
        <w:gridCol w:w="109"/>
        <w:gridCol w:w="109"/>
        <w:gridCol w:w="109"/>
        <w:gridCol w:w="675"/>
        <w:gridCol w:w="1302"/>
        <w:gridCol w:w="350"/>
        <w:gridCol w:w="109"/>
        <w:gridCol w:w="109"/>
        <w:gridCol w:w="109"/>
        <w:gridCol w:w="299"/>
        <w:gridCol w:w="1045"/>
        <w:gridCol w:w="229"/>
      </w:tblGrid>
      <w:tr>
        <w:trPr/>
        <w:tc>
          <w:tcPr>
            <w:tcW w:w="108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Gains</w:t>
              <w:br/>
              <w:t>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Marketable 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w:t>
              <w:br/>
              <w:t>(Loss) Income</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allocated to noncontrolling interests during the period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47"/>
        <w:gridCol w:w="878"/>
        <w:gridCol w:w="658"/>
        <w:gridCol w:w="282"/>
        <w:gridCol w:w="1016"/>
        <w:gridCol w:w="145"/>
        <w:gridCol w:w="109"/>
        <w:gridCol w:w="109"/>
        <w:gridCol w:w="109"/>
        <w:gridCol w:w="367"/>
        <w:gridCol w:w="846"/>
        <w:gridCol w:w="190"/>
        <w:gridCol w:w="109"/>
        <w:gridCol w:w="109"/>
        <w:gridCol w:w="109"/>
        <w:gridCol w:w="697"/>
        <w:gridCol w:w="1192"/>
        <w:gridCol w:w="362"/>
        <w:gridCol w:w="109"/>
        <w:gridCol w:w="109"/>
        <w:gridCol w:w="109"/>
        <w:gridCol w:w="293"/>
        <w:gridCol w:w="1027"/>
        <w:gridCol w:w="224"/>
      </w:tblGrid>
      <w:tr>
        <w:trPr/>
        <w:tc>
          <w:tcPr>
            <w:tcW w:w="104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Marketable 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w:t>
              <w:br/>
              <w:t>(Loss) Income</w:t>
            </w:r>
          </w:p>
        </w:tc>
      </w:tr>
      <w:tr>
        <w:trPr/>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allocated to noncontrolling interests during the period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foreign currency translation adjustment into earnings for the years ended December 31, 2025 and 2024 relate to the substantial liquidation of certain international subsidiaries. At December 31, 2025, $1.5 million is expected to be reclassified into interest expense within the next twelve months as net realized losses related to the Interest Rate Swaps.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2024 and 2023, there was a deferred income tax benefit of $0.5 million, a deferred income tax provision of $0.4 million and a deferred income tax benefit of $0.2 million, respectively, related to unrealized losses and gains on the Interest Rate Swaps. At December 31, 2023, there was a deferred income tax provision of less than $0.1 million related to net unrealized gains on available-for-sale marketable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9—SEGMENT INFORMATION</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overall concept that the Company employs in determining its operating segments is to present the financial information in a manner consistent with the chief operating decision maker’s (“CODM”) view of the businesses. The Office of the Chairman, which is comprised of certain executives and members of the board of directors, is the CODM of the Company. In determining our operating segments, we consider how the businesses are organized as to segment management and the focus of the businesses with regards to the types of services or products offered or the target market. In the case of Emerging &amp; Other, operating segments are combined for reporting purposes because they do not meet the quantitative thresholds that require presentation as separate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reportable segment:</w:t>
      </w:r>
    </w:p>
    <w:tbl>
      <w:tblPr>
        <w:tblW w:w="6987" w:type="dxa"/>
        <w:jc w:val="left"/>
        <w:tblInd w:w="0" w:type="dxa"/>
        <w:tblLayout w:type="fixed"/>
        <w:tblCellMar>
          <w:top w:w="28" w:type="dxa"/>
          <w:left w:w="28" w:type="dxa"/>
          <w:bottom w:w="28" w:type="dxa"/>
          <w:right w:w="28" w:type="dxa"/>
        </w:tblCellMar>
      </w:tblPr>
      <w:tblGrid>
        <w:gridCol w:w="898"/>
        <w:gridCol w:w="749"/>
        <w:gridCol w:w="753"/>
        <w:gridCol w:w="211"/>
        <w:gridCol w:w="976"/>
        <w:gridCol w:w="109"/>
        <w:gridCol w:w="109"/>
        <w:gridCol w:w="109"/>
        <w:gridCol w:w="109"/>
        <w:gridCol w:w="211"/>
        <w:gridCol w:w="976"/>
        <w:gridCol w:w="109"/>
        <w:gridCol w:w="109"/>
        <w:gridCol w:w="109"/>
        <w:gridCol w:w="109"/>
        <w:gridCol w:w="211"/>
        <w:gridCol w:w="976"/>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w:t>
            </w:r>
            <w:r>
              <w:rPr>
                <w:rFonts w:ascii="Times New Roman;serif" w:hAnsi="Times New Roman;serif"/>
                <w:b w:val="false"/>
                <w:color w:val="000000"/>
                <w:sz w:val="13"/>
              </w:rPr>
              <w:t>(a)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eliminations</w:t>
            </w:r>
            <w:r>
              <w:rPr>
                <w:rFonts w:ascii="Times New Roman;serif" w:hAnsi="Times New Roman;serif"/>
                <w:b w:val="false"/>
                <w:color w:val="000000"/>
                <w:sz w:val="13"/>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eliminations</w:t>
            </w:r>
            <w:r>
              <w:rPr>
                <w:rFonts w:ascii="Times New Roman;serif" w:hAnsi="Times New Roman;serif"/>
                <w:b w:val="false"/>
                <w:color w:val="000000"/>
                <w:sz w:val="13"/>
              </w:rPr>
              <w:t>(c)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120" w:after="24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Financial information for both the People Inc. Print and Digital segments has been recast to reflect this change for all periods presented. </w:t>
      </w:r>
    </w:p>
    <w:p>
      <w:pPr>
        <w:pStyle w:val="TextBody"/>
        <w:bidi w:val="0"/>
        <w:spacing w:lineRule="auto" w:line="288" w:before="120" w:after="24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Intersegment eliminations relate to Digital performance marketing commissions earned for the placement of magazine subscriptions and Digital advertising related to media campaigns sold by an agency business within Print.</w:t>
      </w:r>
    </w:p>
    <w:p>
      <w:pPr>
        <w:pStyle w:val="TextBody"/>
        <w:bidi w:val="0"/>
        <w:spacing w:lineRule="auto" w:line="288" w:before="120" w:after="240"/>
        <w:ind w:left="0" w:right="0" w:hanging="36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For the years ended December 31, 2024 and 2023, intersegment eliminations primarily relate to advertising sold by People Inc. to other People Incorporated owned businesses.</w:t>
      </w:r>
    </w:p>
    <w:p>
      <w:pPr>
        <w:pStyle w:val="TextBody"/>
        <w:bidi w:val="0"/>
        <w:spacing w:lineRule="auto" w:line="288" w:before="240" w:after="240"/>
        <w:ind w:left="0" w:right="0" w:firstLine="450"/>
        <w:jc w:val="left"/>
        <w:rPr>
          <w:rFonts w:ascii="Times New Roman;serif" w:hAnsi="Times New Roman;serif"/>
          <w:b/>
          <w:color w:val="000000"/>
          <w:sz w:val="20"/>
        </w:rPr>
      </w:pPr>
      <w:r>
        <w:rPr>
          <w:rFonts w:ascii="Times New Roman;serif" w:hAnsi="Times New Roman;serif"/>
          <w:b/>
          <w:color w:val="000000"/>
          <w:sz w:val="20"/>
        </w:rPr>
        <w:t xml:space="preserve">Disaggregated Revenue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of the Company’s segments disaggregated by type of service:</w:t>
      </w:r>
    </w:p>
    <w:tbl>
      <w:tblPr>
        <w:tblW w:w="7271" w:type="dxa"/>
        <w:jc w:val="left"/>
        <w:tblInd w:w="0" w:type="dxa"/>
        <w:tblLayout w:type="fixed"/>
        <w:tblCellMar>
          <w:top w:w="28" w:type="dxa"/>
          <w:left w:w="28" w:type="dxa"/>
          <w:bottom w:w="28" w:type="dxa"/>
          <w:right w:w="28" w:type="dxa"/>
        </w:tblCellMar>
      </w:tblPr>
      <w:tblGrid>
        <w:gridCol w:w="971"/>
        <w:gridCol w:w="855"/>
        <w:gridCol w:w="858"/>
        <w:gridCol w:w="211"/>
        <w:gridCol w:w="976"/>
        <w:gridCol w:w="109"/>
        <w:gridCol w:w="109"/>
        <w:gridCol w:w="109"/>
        <w:gridCol w:w="109"/>
        <w:gridCol w:w="211"/>
        <w:gridCol w:w="976"/>
        <w:gridCol w:w="109"/>
        <w:gridCol w:w="109"/>
        <w:gridCol w:w="109"/>
        <w:gridCol w:w="109"/>
        <w:gridCol w:w="211"/>
        <w:gridCol w:w="97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People Inc.</w:t>
            </w:r>
            <w:r>
              <w:rPr>
                <w:rFonts w:ascii="Times New Roman;serif" w:hAnsi="Times New Roman;serif"/>
                <w:b/>
                <w:color w:val="000000"/>
                <w:sz w:val="13"/>
              </w:rPr>
              <w:t>(a)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Newsstand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and 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Print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eliminations</w:t>
            </w:r>
            <w:r>
              <w:rPr>
                <w:rFonts w:ascii="Times New Roman;serif" w:hAnsi="Times New Roman;serif"/>
                <w:b w:val="false"/>
                <w:color w:val="000000"/>
                <w:sz w:val="13"/>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People Inc.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Expenses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regularly provided to the CODM for each of the Company’s reportable segments that are included in determining Segment Adjusted EBITDA, which is the Company’s segment reporting performance measure:</w:t>
      </w:r>
    </w:p>
    <w:tbl>
      <w:tblPr>
        <w:tblW w:w="7602" w:type="dxa"/>
        <w:jc w:val="left"/>
        <w:tblInd w:w="0" w:type="dxa"/>
        <w:tblLayout w:type="fixed"/>
        <w:tblCellMar>
          <w:top w:w="28" w:type="dxa"/>
          <w:left w:w="28" w:type="dxa"/>
          <w:bottom w:w="28" w:type="dxa"/>
          <w:right w:w="28" w:type="dxa"/>
        </w:tblCellMar>
      </w:tblPr>
      <w:tblGrid>
        <w:gridCol w:w="1089"/>
        <w:gridCol w:w="962"/>
        <w:gridCol w:w="964"/>
        <w:gridCol w:w="211"/>
        <w:gridCol w:w="976"/>
        <w:gridCol w:w="109"/>
        <w:gridCol w:w="109"/>
        <w:gridCol w:w="109"/>
        <w:gridCol w:w="109"/>
        <w:gridCol w:w="211"/>
        <w:gridCol w:w="976"/>
        <w:gridCol w:w="109"/>
        <w:gridCol w:w="109"/>
        <w:gridCol w:w="109"/>
        <w:gridCol w:w="109"/>
        <w:gridCol w:w="211"/>
        <w:gridCol w:w="97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People Inc.</w:t>
            </w:r>
            <w:r>
              <w:rPr>
                <w:rFonts w:ascii="Times New Roman;serif" w:hAnsi="Times New Roman;serif"/>
                <w:b/>
                <w:color w:val="000000"/>
                <w:sz w:val="13"/>
              </w:rPr>
              <w:t>(a)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Print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40"/>
        <w:ind w:left="0" w:right="0" w:hanging="36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Other comprises unallocated corporate expenses.</w:t>
      </w:r>
    </w:p>
    <w:p>
      <w:pPr>
        <w:pStyle w:val="TextBody"/>
        <w:bidi w:val="0"/>
        <w:spacing w:lineRule="auto" w:line="288" w:before="120" w:after="240"/>
        <w:ind w:left="0" w:right="0" w:hanging="360"/>
        <w:jc w:val="left"/>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The year ended December 31, 2025 includes net gains of $41.5 million resulting from the amendments to a lease, which provided for the surrender of certain office space early and is included in “General and Administrative expense” in the statement of operations. The year ended December 31, 2023 includes a $44.7 million ROU asset impairment charge related to certain unoccupied leased office space due to the continued decline in the commercial real estate market, which is included in “General and administrative expense” in the statement of operations. See “</w:t>
      </w:r>
      <w:hyperlink w:anchor="i6619b59be68b4f7a9428d08547de7a6a_55">
        <w:r>
          <w:rPr>
            <w:rStyle w:val="InternetLink"/>
            <w:rFonts w:ascii="Times New Roman;serif" w:hAnsi="Times New Roman;serif"/>
            <w:b w:val="false"/>
            <w:color w:val="0000FF"/>
            <w:sz w:val="16"/>
            <w:u w:val="single"/>
          </w:rPr>
          <w:t>Note 2—Summary of Significant Accounting Policies</w:t>
        </w:r>
      </w:hyperlink>
      <w:r>
        <w:rPr>
          <w:color w:val="000000"/>
        </w:rPr>
        <w:t xml:space="preserve">” </w:t>
      </w:r>
      <w:r>
        <w:rPr>
          <w:rFonts w:ascii="Times New Roman;serif" w:hAnsi="Times New Roman;serif"/>
          <w:b w:val="false"/>
          <w:color w:val="000000"/>
          <w:sz w:val="16"/>
        </w:rPr>
        <w:t>for additional information on amendments and early terminations of lease agreements and impairment charges of ROU assets.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Segment Reporting Performance Measure and Reconciliations</w:t>
      </w:r>
    </w:p>
    <w:p>
      <w:pPr>
        <w:pStyle w:val="TextBody"/>
        <w:bidi w:val="0"/>
        <w:spacing w:lineRule="auto" w:line="276"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the segment reporting performance measure used by the CODM as one of the metrics by which we evaluate the performance of our businesses and our internal budgets are based and may impact management compensation. Adjusted EBITDA 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 </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has been recast to reflect the revised definition for all periods presented.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Segment Adjusted EBITDA:</w:t>
      </w:r>
    </w:p>
    <w:tbl>
      <w:tblPr>
        <w:tblW w:w="6971" w:type="dxa"/>
        <w:jc w:val="left"/>
        <w:tblInd w:w="0" w:type="dxa"/>
        <w:tblLayout w:type="fixed"/>
        <w:tblCellMar>
          <w:top w:w="28" w:type="dxa"/>
          <w:left w:w="28" w:type="dxa"/>
          <w:bottom w:w="28" w:type="dxa"/>
          <w:right w:w="28" w:type="dxa"/>
        </w:tblCellMar>
      </w:tblPr>
      <w:tblGrid>
        <w:gridCol w:w="1026"/>
        <w:gridCol w:w="902"/>
        <w:gridCol w:w="906"/>
        <w:gridCol w:w="211"/>
        <w:gridCol w:w="826"/>
        <w:gridCol w:w="109"/>
        <w:gridCol w:w="109"/>
        <w:gridCol w:w="109"/>
        <w:gridCol w:w="109"/>
        <w:gridCol w:w="211"/>
        <w:gridCol w:w="826"/>
        <w:gridCol w:w="109"/>
        <w:gridCol w:w="109"/>
        <w:gridCol w:w="109"/>
        <w:gridCol w:w="109"/>
        <w:gridCol w:w="211"/>
        <w:gridCol w:w="82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w:t>
            </w:r>
            <w:r>
              <w:rPr>
                <w:rFonts w:ascii="Times New Roman;serif" w:hAnsi="Times New Roman;serif"/>
                <w:b w:val="false"/>
                <w:color w:val="000000"/>
                <w:sz w:val="13"/>
              </w:rPr>
              <w: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Adjusted EBITDA to earnings (loss)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2336"/>
        <w:gridCol w:w="1830"/>
        <w:gridCol w:w="1843"/>
        <w:gridCol w:w="211"/>
        <w:gridCol w:w="826"/>
        <w:gridCol w:w="109"/>
        <w:gridCol w:w="109"/>
        <w:gridCol w:w="109"/>
        <w:gridCol w:w="109"/>
        <w:gridCol w:w="211"/>
        <w:gridCol w:w="883"/>
        <w:gridCol w:w="109"/>
        <w:gridCol w:w="109"/>
        <w:gridCol w:w="109"/>
        <w:gridCol w:w="109"/>
        <w:gridCol w:w="211"/>
        <w:gridCol w:w="826"/>
        <w:gridCol w:w="156"/>
      </w:tblGrid>
      <w:tr>
        <w:trPr/>
        <w:tc>
          <w:tcPr>
            <w:tcW w:w="233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Adjusted EBITDA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including certain severance and employee separation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(losses) from lease impairments, terminations and amendments and certain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matters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The year ended December 31, 2025, reflects the reversal of $49.8 million of previously recognized stock-based compensation expense related to the forfeiture of our former Chief Executive Officer’s (“CEO”) restricted stock award pursuant to an employment transition agreement (the “Employment Transition Agreement”) entered into on January 13, 2025, partially offset by $14.9 million of stock-based compensation expense related to the transfer of 5.0 million Class B shares of Angi held by the Company to our former CEO prior to the Distribution pursuant to the Employment Transition Agreement.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Segment Assets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Segment asset information is not regularly presented to the CODM.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5427" w:type="dxa"/>
        <w:jc w:val="left"/>
        <w:tblInd w:w="0" w:type="dxa"/>
        <w:tblLayout w:type="fixed"/>
        <w:tblCellMar>
          <w:top w:w="28" w:type="dxa"/>
          <w:left w:w="28" w:type="dxa"/>
          <w:bottom w:w="28" w:type="dxa"/>
          <w:right w:w="28" w:type="dxa"/>
        </w:tblCellMar>
      </w:tblPr>
      <w:tblGrid>
        <w:gridCol w:w="582"/>
        <w:gridCol w:w="510"/>
        <w:gridCol w:w="513"/>
        <w:gridCol w:w="211"/>
        <w:gridCol w:w="721"/>
        <w:gridCol w:w="109"/>
        <w:gridCol w:w="109"/>
        <w:gridCol w:w="109"/>
        <w:gridCol w:w="109"/>
        <w:gridCol w:w="211"/>
        <w:gridCol w:w="721"/>
        <w:gridCol w:w="109"/>
        <w:gridCol w:w="109"/>
        <w:gridCol w:w="109"/>
        <w:gridCol w:w="109"/>
        <w:gridCol w:w="211"/>
        <w:gridCol w:w="72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Geographic Information</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where the customer is located. Geographic information about revenue and long-lived assets is presented below:</w:t>
      </w:r>
    </w:p>
    <w:tbl>
      <w:tblPr>
        <w:tblW w:w="6386" w:type="dxa"/>
        <w:jc w:val="left"/>
        <w:tblInd w:w="0" w:type="dxa"/>
        <w:tblLayout w:type="fixed"/>
        <w:tblCellMar>
          <w:top w:w="28" w:type="dxa"/>
          <w:left w:w="28" w:type="dxa"/>
          <w:bottom w:w="28" w:type="dxa"/>
          <w:right w:w="28" w:type="dxa"/>
        </w:tblCellMar>
      </w:tblPr>
      <w:tblGrid>
        <w:gridCol w:w="650"/>
        <w:gridCol w:w="573"/>
        <w:gridCol w:w="576"/>
        <w:gridCol w:w="211"/>
        <w:gridCol w:w="976"/>
        <w:gridCol w:w="109"/>
        <w:gridCol w:w="109"/>
        <w:gridCol w:w="109"/>
        <w:gridCol w:w="109"/>
        <w:gridCol w:w="211"/>
        <w:gridCol w:w="976"/>
        <w:gridCol w:w="109"/>
        <w:gridCol w:w="109"/>
        <w:gridCol w:w="109"/>
        <w:gridCol w:w="109"/>
        <w:gridCol w:w="211"/>
        <w:gridCol w:w="97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countries</w:t>
            </w:r>
            <w:r>
              <w:rPr>
                <w:rFonts w:ascii="Times New Roman;serif" w:hAnsi="Times New Roman;serif"/>
                <w:b w:val="false"/>
                <w:color w:val="000000"/>
                <w:sz w:val="13"/>
              </w:rPr>
              <w:t>(g)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The decrease in the Company’s revenue from countries outside of the U.S. is due primarily to the sale of the assets of Mosaic Group on February 15, 2024, which was included within Emerging &amp; Other.</w:t>
      </w:r>
    </w:p>
    <w:tbl>
      <w:tblPr>
        <w:tblW w:w="7853" w:type="dxa"/>
        <w:jc w:val="left"/>
        <w:tblInd w:w="0" w:type="dxa"/>
        <w:tblLayout w:type="fixed"/>
        <w:tblCellMar>
          <w:top w:w="28" w:type="dxa"/>
          <w:left w:w="28" w:type="dxa"/>
          <w:bottom w:w="28" w:type="dxa"/>
          <w:right w:w="28" w:type="dxa"/>
        </w:tblCellMar>
      </w:tblPr>
      <w:tblGrid>
        <w:gridCol w:w="1881"/>
        <w:gridCol w:w="1649"/>
        <w:gridCol w:w="1659"/>
        <w:gridCol w:w="211"/>
        <w:gridCol w:w="826"/>
        <w:gridCol w:w="109"/>
        <w:gridCol w:w="109"/>
        <w:gridCol w:w="109"/>
        <w:gridCol w:w="109"/>
        <w:gridCol w:w="211"/>
        <w:gridCol w:w="82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 (excluding goodwill and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revenue earned from one customer, principally within the People Inc. Digital segment, was $214.0 million, representing 12% of the Company’s total revenue for the year ended December 31, 2025. The related accounts receivable was $61.4 million, representing 15% of the Company’s total accounts receivable at December 31, 2025. No individual customer accounted for more than 10% of the Company’s total revenue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10—STOCK-BASED COMPENSATION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currently has one active plan (the “Plan”) under which stock-based awards denominated in shares of or stock-based awards settleable in People Incorporated common stock have been and may be granted. The Plan has a stated term of ten years. The Plan does not specify grant dates or vesting schedules of awards as those determinations have been delegated to the Compensation and Human Resources Committee of the Company’s board of directors (the “Committee”). Each grant agreement reflects the vesting schedule for that grant as determined by the Committee. There are also outstanding stock-based awards that were granted under older plans that have since expired or been discontinued. The Plan provides for grants of stock options to acquire shares of People Incorporated common stock (the exercise price of stock options granted will not be less than the market price of the Company’s common stock on the grant date), RSUs denominated in shares of People Incorporated common stock, including those that may be linked to the achievement of the Company’s stock price, known as market-based awards (“MSUs”), and those that may be linked to the achievement of a performance target, known as performance-based stock units (“PSUs”), restricted stock, as well as other equity awards, including those denominated or settleable in People Incorporated shares. The Plan authorizes the Company to grant awards to its employees, officers, directors and consultants. At December 31, 2025, there are 28.0 million People Incorporated common shares of stock reserved for future issuance under this plan.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People Incorporated Denominated Stock-based Awards</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People Incorporated Restricted Common Stock (“restricted shares”)</w:t>
      </w:r>
    </w:p>
    <w:p>
      <w:pPr>
        <w:pStyle w:val="TextBody"/>
        <w:bidi w:val="0"/>
        <w:spacing w:lineRule="auto" w:line="288" w:before="0" w:after="240"/>
        <w:ind w:left="0" w:right="0" w:firstLine="450"/>
        <w:jc w:val="both"/>
        <w:rPr/>
      </w:pPr>
      <w:r>
        <w:rPr>
          <w:rFonts w:ascii="Times New Roman;serif" w:hAnsi="Times New Roman;serif"/>
          <w:b w:val="false"/>
          <w:color w:val="000000"/>
          <w:sz w:val="20"/>
          <w:shd w:fill="FFFFFF" w:val="clear"/>
        </w:rPr>
        <w:t xml:space="preserve">On January 13, 2025, the Company and Joseph Levin, the Company’s former Chief Executive Officer (“CEO”), entered into an Employment Transition Agreement (the “Agreement”) pursuant to which the Employment Agreement, by and between Mr. Levin and the Company, dated November 5, 2020 (“Employment Agreement”), and the Amended and Restated Restricted Stock Agreement (“RSA Agreement”), dated June 7, 2021 were terminated, except as provided in Section 6 of the RSA Agreement. As a result, the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shd w:fill="FFFFFF" w:val="clear"/>
        </w:rPr>
        <w:t xml:space="preserve">restricted shares granted to Mr. Levin pursuant to the RSA Agreement were forfeited by Mr. Levin. Accordingly, the cumulative previously recognized stock-based compensation expense of $60.0 million recognized by the Company with respect to the restricted shares was reversed in the quarter ended March 31, 2025. Of the $60.0 million of stock-based compensation expense reversed, $10.2 million was recognized by Angi (and is reflected in discontinued operations) as it was attributable to the period from </w:t>
      </w:r>
      <w:r>
        <w:rPr>
          <w:rFonts w:ascii="Times New Roman;serif" w:hAnsi="Times New Roman;serif"/>
          <w:b w:val="false"/>
          <w:color w:val="000000"/>
          <w:sz w:val="20"/>
        </w:rPr>
        <w:t>October 10, 2022</w:t>
      </w:r>
      <w:r>
        <w:rPr>
          <w:color w:val="000000"/>
          <w:shd w:fill="FFFFFF" w:val="clear"/>
        </w:rPr>
        <w:t xml:space="preserve"> </w:t>
      </w:r>
      <w:r>
        <w:rPr>
          <w:rFonts w:ascii="Times New Roman;serif" w:hAnsi="Times New Roman;serif"/>
          <w:b w:val="false"/>
          <w:color w:val="000000"/>
          <w:sz w:val="20"/>
          <w:shd w:fill="FFFFFF" w:val="clear"/>
        </w:rPr>
        <w:t xml:space="preserve">through April 8, 2024 when Mr. Levin served as CEO of Angi. </w:t>
      </w:r>
    </w:p>
    <w:p>
      <w:pPr>
        <w:pStyle w:val="TextBody"/>
        <w:bidi w:val="0"/>
        <w:spacing w:lineRule="auto" w:line="288" w:before="0" w:after="24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Agreement, the Company transferred 5.0 million shares of Angi held by the Company to Mr. Levin and paid $9.3 million to satisfy applicable tax withholding obligations. </w:t>
      </w:r>
    </w:p>
    <w:p>
      <w:pPr>
        <w:pStyle w:val="TextBody"/>
        <w:bidi w:val="0"/>
        <w:spacing w:lineRule="auto" w:line="288" w:before="0" w:after="24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recorded $14.9 million of stock-based compensation expense with respect to the transfer of shares of Angi to Mr. Levin and $0.1 million of stock-based compensation expense with respect to the extension of the exercise period of certain People Incorporated stock options in the quarter ended March 31, 2025 as provided in the Agreement.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People Incorporated Restricted Stock Units and Performance-based Stock Units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RSUs and PSUs are awards in the form of phantom shares or units denominated in a hypothetical equivalent number of shares of People Incorporated common stock and with the value of each RSU and PSU equal to the fair value of People Incorporated common stock at the date of grant. Each RSU and PSU grant is subject to service-based vesting, where a specific period of continued employment must pass before an award vests. PSUs also include performance-based vesting, where certain performance targets set at the time of grant must be achieved before an award vests. For RSU grants, the expense is measured at the grant date as the fair value of People Incorporated common stock and expensed as stock-based compensation over the vesting term. For PSU grants, the expense is measured at the grant date as the fair value of People Incorporated common stock and expensed as stock-based compensation over the vesting term if the performance targets are considered probable of being achieved.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Broad-based RSU awards issued through December 31, 2025 generally vest over a three-year or a four-year period from the grant date. PSU awards issued through December 31, 2025 vest in three prorated annual installments from the date of grant subject to the achievement of certain performance targets. There are no MSU awards granted or outstanding during the years ended December 31, 2025, 2024 and 2023.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Unvested RSUs and PSUs outstanding at December 31, 2025 and changes during the period ended December 31, 2025 are as follows:</w:t>
      </w:r>
    </w:p>
    <w:tbl>
      <w:tblPr>
        <w:tblW w:w="10205" w:type="dxa"/>
        <w:jc w:val="left"/>
        <w:tblInd w:w="0" w:type="dxa"/>
        <w:tblLayout w:type="fixed"/>
        <w:tblCellMar>
          <w:top w:w="28" w:type="dxa"/>
          <w:left w:w="28" w:type="dxa"/>
          <w:bottom w:w="28" w:type="dxa"/>
          <w:right w:w="28" w:type="dxa"/>
        </w:tblCellMar>
      </w:tblPr>
      <w:tblGrid>
        <w:gridCol w:w="2131"/>
        <w:gridCol w:w="1751"/>
        <w:gridCol w:w="1757"/>
        <w:gridCol w:w="321"/>
        <w:gridCol w:w="295"/>
        <w:gridCol w:w="245"/>
        <w:gridCol w:w="109"/>
        <w:gridCol w:w="109"/>
        <w:gridCol w:w="109"/>
        <w:gridCol w:w="211"/>
        <w:gridCol w:w="618"/>
        <w:gridCol w:w="109"/>
        <w:gridCol w:w="109"/>
        <w:gridCol w:w="109"/>
        <w:gridCol w:w="109"/>
        <w:gridCol w:w="267"/>
        <w:gridCol w:w="263"/>
        <w:gridCol w:w="265"/>
        <w:gridCol w:w="109"/>
        <w:gridCol w:w="109"/>
        <w:gridCol w:w="109"/>
        <w:gridCol w:w="211"/>
        <w:gridCol w:w="618"/>
        <w:gridCol w:w="162"/>
      </w:tblGrid>
      <w:tr>
        <w:trPr/>
        <w:tc>
          <w:tcPr>
            <w:tcW w:w="213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40" w:before="0" w:after="0"/>
              <w:jc w:val="center"/>
              <w:rPr/>
            </w:pPr>
            <w:r>
              <w:rPr>
                <w:rFonts w:ascii="Times New Roman;serif" w:hAnsi="Times New Roman;serif"/>
                <w:b/>
                <w:color w:val="000000"/>
                <w:sz w:val="16"/>
              </w:rPr>
              <w:t>of Shares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30, 2025 prior to the Distribution adjustment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2025 after the Distribution adjustment</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Granted in connection with the conversion of People Inc. SARs into unvested People Incorporated RSUs on April 15, 2025 </w:t>
            </w:r>
            <w:r>
              <w:rPr>
                <w:rFonts w:ascii="Times New Roman;serif" w:hAnsi="Times New Roman;serif"/>
                <w:b w:val="false"/>
                <w:color w:val="000000"/>
                <w:sz w:val="13"/>
              </w:rPr>
              <w:t>(b)</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subsequent to April 15, 2025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w:t>
            </w:r>
          </w:p>
        </w:tc>
        <w:tc>
          <w:tcPr>
            <w:tcW w:w="8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40"/>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Included in the table are PSUs which will vest in a varying amount depending upon the achievement of certain performance conditions. The PSU table above includes these awards at their maximum potential payout.</w:t>
      </w:r>
    </w:p>
    <w:p>
      <w:pPr>
        <w:pStyle w:val="TextBody"/>
        <w:bidi w:val="0"/>
        <w:spacing w:lineRule="auto" w:line="288" w:before="120" w:after="240"/>
        <w:ind w:left="0" w:right="0" w:hanging="27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On April 15, 2025, the Company cancelled all outstanding People Inc. denominated stock appreciation rights and converted their intrinsic value into People Incorporated denominated RSUs. This modification did not result in any incremental stock-based compensation expense. The weighted average grant date fair value in the table above represents the closing stock price of the Company on April 15, 2025.</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Distribution, all RSU awards outstanding immediately prior to the Distribution were converted into a new RSU award with the number of shares under each new award adjusted by a ratio of 1.2138 to preserve their fair value immediately before and immediately after the conversion with the same terms and conditions (including applicable vesting requirements) of the original award. </w:t>
      </w:r>
    </w:p>
    <w:p>
      <w:pPr>
        <w:pStyle w:val="TextBody"/>
        <w:bidi w:val="0"/>
        <w:spacing w:lineRule="auto" w:line="288" w:before="240" w:after="240"/>
        <w:ind w:left="0" w:right="0" w:firstLine="450"/>
        <w:jc w:val="left"/>
        <w:rPr/>
      </w:pPr>
      <w:r>
        <w:rPr>
          <w:rFonts w:ascii="Times New Roman;serif" w:hAnsi="Times New Roman;serif"/>
          <w:b w:val="false"/>
          <w:color w:val="000000"/>
          <w:sz w:val="20"/>
        </w:rPr>
        <w:t xml:space="preserve">The Company currently settles RSUs and PSUs on a net basis, with the award holder entitled to receive People Incorporated shares equal to the number of RSUs and PSUs vesting less a number of shares with a value equal to the required cash tax withholding payment, which will be paid by the Company. The number of People Incorporated common shares that would be required to net settle RSUs and PSUs outstanding at February 2, 2026 is </w:t>
      </w:r>
      <w:r>
        <w:rPr>
          <w:rFonts w:ascii="Times New Roman;serif" w:hAnsi="Times New Roman;serif"/>
          <w:b w:val="false"/>
          <w:color w:val="000000"/>
          <w:sz w:val="20"/>
          <w:shd w:fill="FFFFFF" w:val="clear"/>
        </w:rPr>
        <w:t>1.4 million s</w:t>
      </w:r>
      <w:r>
        <w:rPr>
          <w:rFonts w:ascii="Times New Roman;serif" w:hAnsi="Times New Roman;serif"/>
          <w:b w:val="false"/>
          <w:color w:val="000000"/>
          <w:sz w:val="20"/>
        </w:rPr>
        <w:t>hares. In addition, withholding taxes, which will be paid by the Company on behalf of the employees upon vesting, would have b</w:t>
      </w:r>
      <w:r>
        <w:rPr>
          <w:rFonts w:ascii="Times New Roman;serif" w:hAnsi="Times New Roman;serif"/>
          <w:b w:val="false"/>
          <w:color w:val="000000"/>
          <w:sz w:val="20"/>
          <w:shd w:fill="FFFFFF" w:val="clear"/>
        </w:rPr>
        <w:t xml:space="preserve">een </w:t>
      </w:r>
      <w:r>
        <w:rPr>
          <w:rFonts w:ascii="Times New Roman;serif" w:hAnsi="Times New Roman;serif"/>
          <w:b w:val="false"/>
          <w:color w:val="000000"/>
          <w:sz w:val="20"/>
        </w:rPr>
        <w:t>$47.0 million</w:t>
      </w:r>
      <w:r>
        <w:rPr>
          <w:color w:val="000000"/>
          <w:shd w:fill="FFFFFF" w:val="clear"/>
        </w:rPr>
        <w:t xml:space="preserve"> </w:t>
      </w: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February 2, 2026, assuming a 50% withholding rate.</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fair value of RSUs and PSUs granted for the years ended December 31, 2025, 2024 and 2023, based on market prices of the Company’s common stock on the grant date, was $36.72, $51.29 and $53.41, respectively.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RSUs that vested for the years ended December 31, 2025, 2024 and 2023 was $44.5 million, $26.8 million and $8.3 million, respectively. There were no PSUs that vested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People Incorporated Stock Options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outstanding stock options are fully vested.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 options outstanding at December 31, 2025 and changes during the period ended December 31, 2025 are as follows:</w:t>
      </w:r>
    </w:p>
    <w:tbl>
      <w:tblPr>
        <w:tblW w:w="10205" w:type="dxa"/>
        <w:jc w:val="left"/>
        <w:tblInd w:w="0" w:type="dxa"/>
        <w:tblLayout w:type="fixed"/>
        <w:tblCellMar>
          <w:top w:w="28" w:type="dxa"/>
          <w:left w:w="28" w:type="dxa"/>
          <w:bottom w:w="28" w:type="dxa"/>
          <w:right w:w="28" w:type="dxa"/>
        </w:tblCellMar>
      </w:tblPr>
      <w:tblGrid>
        <w:gridCol w:w="1899"/>
        <w:gridCol w:w="1655"/>
        <w:gridCol w:w="1664"/>
        <w:gridCol w:w="338"/>
        <w:gridCol w:w="339"/>
        <w:gridCol w:w="196"/>
        <w:gridCol w:w="109"/>
        <w:gridCol w:w="109"/>
        <w:gridCol w:w="109"/>
        <w:gridCol w:w="211"/>
        <w:gridCol w:w="616"/>
        <w:gridCol w:w="109"/>
        <w:gridCol w:w="109"/>
        <w:gridCol w:w="109"/>
        <w:gridCol w:w="109"/>
        <w:gridCol w:w="368"/>
        <w:gridCol w:w="368"/>
        <w:gridCol w:w="370"/>
        <w:gridCol w:w="109"/>
        <w:gridCol w:w="109"/>
        <w:gridCol w:w="109"/>
        <w:gridCol w:w="211"/>
        <w:gridCol w:w="721"/>
        <w:gridCol w:w="159"/>
      </w:tblGrid>
      <w:tr>
        <w:trPr/>
        <w:tc>
          <w:tcPr>
            <w:tcW w:w="189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and intrinsic value in thousands)</w:t>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January 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March 30, 2025 prior to the Distribution adjustment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March 31, 2025 after the Distribution adjustment</w:t>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w:t>
            </w:r>
          </w:p>
        </w:tc>
        <w:tc>
          <w:tcPr>
            <w:tcW w:w="6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Distribution, all People Incorporated stock option awards outstanding immediately prior to the Distribution were converted into a new stock option award with the number of shares under each new award adjusted by a ratio of 1.2138 to preserve their fair value immediately before and immediately after the conversion with the same terms and conditions (including applicable vesting requirements) of the original award.</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difference between the Company’s closing stock price on the last trading day of 2025 and the exercise price, multiplied by the number of in-the-money options that would have been exercised had all option holders exercised their options on December 31, 2025. The total intrinsic value of People Incorporated stock options exercised during the years ended December 31, 2025, 2024 and 2023 was $65.9 million, $5.1 million and $11.3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information about stock options outstanding and exercisable at December 31, 2025:</w:t>
      </w:r>
    </w:p>
    <w:tbl>
      <w:tblPr>
        <w:tblW w:w="10205" w:type="dxa"/>
        <w:jc w:val="left"/>
        <w:tblInd w:w="0" w:type="dxa"/>
        <w:tblLayout w:type="fixed"/>
        <w:tblCellMar>
          <w:top w:w="28" w:type="dxa"/>
          <w:left w:w="28" w:type="dxa"/>
          <w:bottom w:w="28" w:type="dxa"/>
          <w:right w:w="28" w:type="dxa"/>
        </w:tblCellMar>
      </w:tblPr>
      <w:tblGrid>
        <w:gridCol w:w="317"/>
        <w:gridCol w:w="278"/>
        <w:gridCol w:w="280"/>
        <w:gridCol w:w="406"/>
        <w:gridCol w:w="406"/>
        <w:gridCol w:w="407"/>
        <w:gridCol w:w="109"/>
        <w:gridCol w:w="109"/>
        <w:gridCol w:w="109"/>
        <w:gridCol w:w="472"/>
        <w:gridCol w:w="472"/>
        <w:gridCol w:w="473"/>
        <w:gridCol w:w="109"/>
        <w:gridCol w:w="109"/>
        <w:gridCol w:w="109"/>
        <w:gridCol w:w="259"/>
        <w:gridCol w:w="758"/>
        <w:gridCol w:w="134"/>
        <w:gridCol w:w="109"/>
        <w:gridCol w:w="109"/>
        <w:gridCol w:w="109"/>
        <w:gridCol w:w="429"/>
        <w:gridCol w:w="429"/>
        <w:gridCol w:w="430"/>
        <w:gridCol w:w="109"/>
        <w:gridCol w:w="109"/>
        <w:gridCol w:w="109"/>
        <w:gridCol w:w="472"/>
        <w:gridCol w:w="472"/>
        <w:gridCol w:w="473"/>
        <w:gridCol w:w="109"/>
        <w:gridCol w:w="109"/>
        <w:gridCol w:w="109"/>
        <w:gridCol w:w="257"/>
        <w:gridCol w:w="751"/>
        <w:gridCol w:w="19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Range of Exercise Prices</w:t>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Exercisable 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$10.00</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$10.01 to $15.00</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 awards, with the exception of market-based awards, is estimated on the grant date using the Black-Scholes option pricing model. The Black-Scholes option pricing model incorporates various assumptions, including expected volatility, risk-free interest rate and expected term. </w:t>
      </w:r>
    </w:p>
    <w:p>
      <w:pPr>
        <w:pStyle w:val="TextBody"/>
        <w:bidi w:val="0"/>
        <w:spacing w:lineRule="auto" w:line="288" w:before="240" w:after="240"/>
        <w:ind w:left="0" w:right="0" w:firstLine="450"/>
        <w:jc w:val="left"/>
        <w:rPr/>
      </w:pPr>
      <w:r>
        <w:rPr>
          <w:rFonts w:ascii="Times New Roman;serif" w:hAnsi="Times New Roman;serif"/>
          <w:b w:val="false"/>
          <w:color w:val="000000"/>
          <w:sz w:val="20"/>
        </w:rPr>
        <w:t>The Company has the discretion to settle People Incorporated stock options net of withholding tax and exercise price or require the award holder to pay its share of the withholding tax, which he or she may do so by selling People Incorporated common shares. The aggregate intrinsic value of the Company’s stock options outstanding as of February 2, 2026, i</w:t>
      </w:r>
      <w:r>
        <w:rPr>
          <w:rFonts w:ascii="Times New Roman;serif" w:hAnsi="Times New Roman;serif"/>
          <w:b w:val="false"/>
          <w:color w:val="000000"/>
          <w:sz w:val="20"/>
          <w:shd w:fill="FFFFFF" w:val="clear"/>
        </w:rPr>
        <w:t>s $9.6 million.</w:t>
      </w:r>
      <w:r>
        <w:rPr>
          <w:color w:val="000000"/>
        </w:rPr>
        <w:t xml:space="preserve"> </w:t>
      </w:r>
      <w:r>
        <w:rPr>
          <w:rFonts w:ascii="Times New Roman;serif" w:hAnsi="Times New Roman;serif"/>
          <w:b w:val="false"/>
          <w:color w:val="000000"/>
          <w:sz w:val="20"/>
        </w:rPr>
        <w:t>Assuming all stock options outstanding on February 2, 2026 were net settled on that date, the Company would have issue</w:t>
      </w:r>
      <w:r>
        <w:rPr>
          <w:rFonts w:ascii="Times New Roman;serif" w:hAnsi="Times New Roman;serif"/>
          <w:b w:val="false"/>
          <w:color w:val="000000"/>
          <w:sz w:val="20"/>
          <w:shd w:fill="FFFFFF" w:val="clear"/>
        </w:rPr>
        <w:t xml:space="preserve">d 0.1 million </w:t>
      </w:r>
      <w:r>
        <w:rPr>
          <w:rFonts w:ascii="Times New Roman;serif" w:hAnsi="Times New Roman;serif"/>
          <w:b w:val="false"/>
          <w:color w:val="000000"/>
          <w:sz w:val="20"/>
        </w:rPr>
        <w:t>common shares and would have remitt</w:t>
      </w:r>
      <w:r>
        <w:rPr>
          <w:rFonts w:ascii="Times New Roman;serif" w:hAnsi="Times New Roman;serif"/>
          <w:b w:val="false"/>
          <w:color w:val="000000"/>
          <w:sz w:val="20"/>
          <w:shd w:fill="FFFFFF" w:val="clear"/>
        </w:rPr>
        <w:t>ed $4.8 million</w:t>
      </w:r>
      <w:r>
        <w:rPr>
          <w:color w:val="000000"/>
        </w:rPr>
        <w:t xml:space="preserve"> </w:t>
      </w:r>
      <w:r>
        <w:rPr>
          <w:rFonts w:ascii="Times New Roman;serif" w:hAnsi="Times New Roman;serif"/>
          <w:b w:val="false"/>
          <w:color w:val="000000"/>
          <w:sz w:val="20"/>
        </w:rPr>
        <w:t>in cash for withholding taxes (assuming a 50% withholding rate). Assuming all stock options outstanding on February 2, 2026 were settled through the issuance of a number of People Incorporated common shares equal to the number of stock options exercised, the Company would have issu</w:t>
      </w:r>
      <w:r>
        <w:rPr>
          <w:rFonts w:ascii="Times New Roman;serif" w:hAnsi="Times New Roman;serif"/>
          <w:b w:val="false"/>
          <w:color w:val="000000"/>
          <w:sz w:val="20"/>
          <w:shd w:fill="FFFFFF" w:val="clear"/>
        </w:rPr>
        <w:t>ed 0.4 million co</w:t>
      </w:r>
      <w:r>
        <w:rPr>
          <w:rFonts w:ascii="Times New Roman;serif" w:hAnsi="Times New Roman;serif"/>
          <w:b w:val="false"/>
          <w:color w:val="000000"/>
          <w:sz w:val="20"/>
        </w:rPr>
        <w:t>mmon shares and would have recei</w:t>
      </w:r>
      <w:r>
        <w:rPr>
          <w:rFonts w:ascii="Times New Roman;serif" w:hAnsi="Times New Roman;serif"/>
          <w:b w:val="false"/>
          <w:color w:val="000000"/>
          <w:sz w:val="20"/>
          <w:shd w:fill="FFFFFF" w:val="clear"/>
        </w:rPr>
        <w:t>ved $4.4 million in cash proceeds.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Stock-based Awards Denominated in the Shares of Certain Subsidiaries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The Company has granted stock appreciation rights to employees and management that are denominated in the equity of certain subsidiaries of the Company. These equity awards vest over a period of years or upon the occurrence of certain prescribed events. The value of the stock appreciation rights is tied to the value of the common stock of these subsidiaries. Accordingly, these interests only have value to the extent the relevant business appreciates in value above the initial value utilized to determine the exercise price. These interests can have significant value in the event of significant appreciation. The fair value of these interest is generally determined by the board of directors of the applicable subsidiary, which will occur at various dates through 2031. These equity awards are settled on a net basis, with the award holder entitled to receive a payment in People Incorporated common shares equal to the intrinsic value of the award at exercise less an amount equal to the required cash tax withholding payment, which will be paid by the Company. The number of People Incorporated common shares ultimately needed to settle these awards may vary significantly as a result of both movements in our stock price and a determination of fair value of the relevant subsidiary that is different than our estimate. The expense associated with these equity awards is initially measured at fair value at the grant date and is expensed as stock-based compensation over the vesting term. </w:t>
      </w:r>
      <w:r>
        <w:rPr>
          <w:rFonts w:ascii="Times New Roman;serif" w:hAnsi="Times New Roman;serif"/>
          <w:b w:val="false"/>
          <w:color w:val="000000"/>
          <w:sz w:val="20"/>
          <w:shd w:fill="FFFFFF" w:val="clear"/>
        </w:rPr>
        <w:t xml:space="preserve">As of December 31, 2025, Vivian Health is currently our only subsidiary who provides equity awards in the form of stock appreciation rights. </w:t>
      </w:r>
      <w:r>
        <w:rPr>
          <w:rFonts w:ascii="Times New Roman;serif" w:hAnsi="Times New Roman;serif"/>
          <w:b w:val="false"/>
          <w:color w:val="000000"/>
          <w:sz w:val="20"/>
        </w:rPr>
        <w:t xml:space="preserve">At February 2, 2026 the outstanding awards are out of the money and have no intrinsic value.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Forfeitures and Unrecognized Compensation Cost</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amount of stock-based compensation expense recognized in the statement of operations is net of estimated forfeitures. The forfeiture rate is estimated at the grant date based on historical experience and revised, if necessary, in subsequent periods if actual forfeitures differ from the estimated rate. The expense ultimately recorded is for the awards that vest. At December 31, 2025, ther</w:t>
      </w:r>
      <w:r>
        <w:rPr>
          <w:rFonts w:ascii="Times New Roman;serif" w:hAnsi="Times New Roman;serif"/>
          <w:b w:val="false"/>
          <w:color w:val="000000"/>
          <w:sz w:val="20"/>
          <w:shd w:fill="FFFFFF" w:val="clear"/>
        </w:rPr>
        <w:t>e is $67.2 million of unrecognized compensation cost, net of estimated forfeitures, related to all equity-based awards which is expected to be recognized over a weighted average period of approximately 1.8 y</w:t>
      </w:r>
      <w:r>
        <w:rPr>
          <w:rFonts w:ascii="Times New Roman;serif" w:hAnsi="Times New Roman;serif"/>
          <w:b w:val="false"/>
          <w:color w:val="000000"/>
          <w:sz w:val="20"/>
        </w:rPr>
        <w:t>ears.</w:t>
      </w:r>
    </w:p>
    <w:p>
      <w:pPr>
        <w:pStyle w:val="TextBody"/>
        <w:bidi w:val="0"/>
        <w:spacing w:lineRule="auto" w:line="288" w:before="0" w:after="240"/>
        <w:jc w:val="left"/>
        <w:rPr/>
      </w:pPr>
      <w:r>
        <w:rPr>
          <w:rFonts w:ascii="Times New Roman;serif" w:hAnsi="Times New Roman;serif"/>
          <w:b/>
          <w:color w:val="000000"/>
          <w:sz w:val="20"/>
        </w:rPr>
        <w:t>Tax Benefits</w:t>
      </w:r>
      <w:r>
        <w:rPr>
          <w:color w:val="000000"/>
        </w:rPr>
        <w:t xml:space="preserve">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income tax benefit recognized in the statement of operations for the years ended December 31, 2025, 2024 and 2023 related to all stock-based compensation expense is $12.7 million, $10.6 million and $12.7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aggregate income tax benefit recognized related to the exercise of stock options for the years ended December 31, 2025, 2024 and 2023, is $5.8 million, $2.1 million and $3.4 million, respectively. There may be some delay in the timing of the realization of the cash benefit of the income tax deductions related to stock-based compensation because it will be dependent upon the amount and timing of future taxable income and the timing of estimated income tax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11—PENSION AND POST-RETIREMENT BENEFIT PLANS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Pension and Post-Retirement Plans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2021 acquisition of Meredith, People Inc. assumed the obligations under Meredith’s various pension plans. The two U.S. plans included noncontributory pension plans that covered substantially all employees who were employed by Meredith prior to January 1, 2018. People Inc. also assumed Meredith’s defined healthcare plan that provides benefits to eligible employees upon their retirement in the U.S.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two international pension plans in the U.K., the IPC Plan and a nonqualified (unfunded) plan. The plans in the U.K. have no active participants. The two U.S. and two U.K. plans consist of a qualified (funded) plan and an unfunded plan in each country. These plans provide participants with retirement benefits in accordance with benefit provision formulas. The unfunded pension plans provide retirement benefits to certain highly compensated employees.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U.S. Pension Plans and Post-Retirement Plan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28, 2024, People Inc. amended the U.S. unfunded pension plan to freeze active participation as of December 31, 2024. All plan participants remain as participants in this plan with respect to their accrued benefits until their accrued benefits are distributed to them or their beneficiaries. The plan was closed to new participants as of December 31, 2022, and participant’s covered compensation was frozen effective December 31, 2024. Participants continue to receive interest accumulation pursuant to the terms of the plan. Because the plan is unfunded, People Inc. will make benefit payments to the participants once they reach their benefit eligibility date.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People Inc. froze and terminated the U.S. funded pension plan as of December 31, 2022. The last of the required customary regulatory approvals of the termination of this plan was received in February 2024. In connection with the termination of this plan, the liabilities were settled through a combination of (i) lump sum payments to eligible participants who elected to receive them and (ii) the purchase of annuity contracts for participants who either did not elect lump sums or were already receiving benefits. During 2024, the U.S. funded pension plan’s remaining assets of $16.0 million were transferred to a suspense account in the trust for the People Incorporated’s retirement savings plan, a qualified retirement plan (“QRP”). The assets transferred to the QRP were restricted in nature and considered a Level 2 investment in the fair value hierarchy and were reflected as a retirement investment fund in “Other current assets” in the balance sheet as of December 31, 2024. In accordance with Internal Revenue Service (“IRS”) requirements, during the third quarter of 2024, People Inc. made its first asset allocation from the QRP in the amount of $2.3 million, with the remaining funds of $13.9 million allocated in 2025.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People Inc. also provides health care benefits for certain employees in the U.S. upon their retirement. This plan is the only plan with active participants that are accruing benefits based upon service and the expected cost of which is accrued over the period that the employees render services; this plan is funded as claims are paid.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U.K. Pension Plans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IPC Plan and the unfunded U.K. plan relate to certain Meredith operations that were sold prior to People Inc.’s 2021 acquisition of Meredith; Meredith retained the pension obligations related to these operations. On July 28, 2022, following approval by the trustees of the IPC Plan, the IPC Plan entered into an annuity contract with a private limited life insurance company covering all IPC Plan participants who were not covered by an annuity contract entered into in May 2020. The annuity contracts are designed to provide payments equal to all future designated contractual benefit payments. The value of the annuity contracts and the liabilities with respect to participants are expected to match. People Inc. remains responsible for paying pension benefits to the IPC Plan participants. People Inc. is not expected to be required to make additional contributions to the IPC Plan, however, People Inc. is expected to be required to provide funding to cover the IPC Plan’s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Obligations and Funded Status</w:t>
      </w:r>
    </w:p>
    <w:p>
      <w:pPr>
        <w:pStyle w:val="TextBody"/>
        <w:bidi w:val="0"/>
        <w:spacing w:lineRule="auto" w:line="288" w:before="24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Change in Net Assets/Liabilities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following</w:t>
      </w:r>
      <w:r>
        <w:rPr>
          <w:color w:val="000000"/>
        </w:rPr>
        <w:t xml:space="preserve"> </w:t>
      </w:r>
      <w:r>
        <w:rPr>
          <w:rFonts w:ascii="Times New Roman;serif" w:hAnsi="Times New Roman;serif"/>
          <w:b w:val="false"/>
          <w:color w:val="000000"/>
          <w:sz w:val="20"/>
        </w:rPr>
        <w:t>tables</w:t>
      </w:r>
      <w:r>
        <w:rPr>
          <w:color w:val="000000"/>
        </w:rPr>
        <w:t xml:space="preserve"> </w:t>
      </w:r>
      <w:r>
        <w:rPr>
          <w:rFonts w:ascii="Times New Roman;serif" w:hAnsi="Times New Roman;serif"/>
          <w:b w:val="false"/>
          <w:color w:val="000000"/>
          <w:sz w:val="20"/>
        </w:rPr>
        <w:t>present</w:t>
      </w:r>
      <w:r>
        <w:rPr>
          <w:color w:val="000000"/>
        </w:rPr>
        <w:t xml:space="preserve"> </w:t>
      </w:r>
      <w:r>
        <w:rPr>
          <w:rFonts w:ascii="Times New Roman;serif" w:hAnsi="Times New Roman;serif"/>
          <w:b w:val="false"/>
          <w:color w:val="000000"/>
          <w:sz w:val="20"/>
        </w:rPr>
        <w:t>changes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components of, People Inc.’s net assets/liabilities</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pension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post-retirement</w:t>
      </w:r>
      <w:r>
        <w:rPr>
          <w:color w:val="000000"/>
        </w:rPr>
        <w:t xml:space="preserve"> </w:t>
      </w:r>
      <w:r>
        <w:rPr>
          <w:rFonts w:ascii="Times New Roman;serif" w:hAnsi="Times New Roman;serif"/>
          <w:b w:val="false"/>
          <w:color w:val="000000"/>
          <w:sz w:val="20"/>
        </w:rPr>
        <w:t>benefits:</w:t>
      </w:r>
    </w:p>
    <w:tbl>
      <w:tblPr>
        <w:tblW w:w="10205" w:type="dxa"/>
        <w:jc w:val="left"/>
        <w:tblInd w:w="0" w:type="dxa"/>
        <w:tblLayout w:type="fixed"/>
        <w:tblCellMar>
          <w:top w:w="28" w:type="dxa"/>
          <w:left w:w="28" w:type="dxa"/>
          <w:bottom w:w="28" w:type="dxa"/>
          <w:right w:w="28" w:type="dxa"/>
        </w:tblCellMar>
      </w:tblPr>
      <w:tblGrid>
        <w:gridCol w:w="714"/>
        <w:gridCol w:w="465"/>
        <w:gridCol w:w="468"/>
        <w:gridCol w:w="211"/>
        <w:gridCol w:w="641"/>
        <w:gridCol w:w="109"/>
        <w:gridCol w:w="109"/>
        <w:gridCol w:w="109"/>
        <w:gridCol w:w="109"/>
        <w:gridCol w:w="211"/>
        <w:gridCol w:w="826"/>
        <w:gridCol w:w="109"/>
        <w:gridCol w:w="109"/>
        <w:gridCol w:w="109"/>
        <w:gridCol w:w="109"/>
        <w:gridCol w:w="286"/>
        <w:gridCol w:w="856"/>
        <w:gridCol w:w="149"/>
        <w:gridCol w:w="109"/>
        <w:gridCol w:w="109"/>
        <w:gridCol w:w="109"/>
        <w:gridCol w:w="211"/>
        <w:gridCol w:w="721"/>
        <w:gridCol w:w="109"/>
        <w:gridCol w:w="109"/>
        <w:gridCol w:w="109"/>
        <w:gridCol w:w="109"/>
        <w:gridCol w:w="211"/>
        <w:gridCol w:w="826"/>
        <w:gridCol w:w="109"/>
        <w:gridCol w:w="109"/>
        <w:gridCol w:w="109"/>
        <w:gridCol w:w="109"/>
        <w:gridCol w:w="283"/>
        <w:gridCol w:w="846"/>
        <w:gridCol w:w="209"/>
      </w:tblGrid>
      <w:tr>
        <w:trPr/>
        <w:tc>
          <w:tcPr>
            <w:tcW w:w="71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 (gain)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(including lump sums)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impact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(including lump sums)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Settlements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QRP</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impact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funded status, end of year</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w:t>
            </w:r>
          </w:p>
        </w:tc>
        <w:tc>
          <w:tcPr>
            <w:tcW w:w="1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2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Benefits paid directly from People Inc. assets for the unfunded U.S. and U.K. plans and the post-retirement plan are included both in employer contributions and benefits paid.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IPC Plan participants are covered by the annuity contracts referenced above, which are held with a private limited life insurance company. As described above, the full benefits under the plan have been annuitized, the interest cost and net actuarial loss on the benefit obligation exceeded the actual return on plan assets during the year ended December 31, 2025, which increased the under funded status of the IPC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Balance Sheet Classification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amounts are recognized in the December 31, 2025 and 2024 balance sheet, respectively:</w:t>
      </w:r>
    </w:p>
    <w:tbl>
      <w:tblPr>
        <w:tblW w:w="10205" w:type="dxa"/>
        <w:jc w:val="left"/>
        <w:tblInd w:w="0" w:type="dxa"/>
        <w:tblLayout w:type="fixed"/>
        <w:tblCellMar>
          <w:top w:w="28" w:type="dxa"/>
          <w:left w:w="28" w:type="dxa"/>
          <w:bottom w:w="28" w:type="dxa"/>
          <w:right w:w="28" w:type="dxa"/>
        </w:tblCellMar>
      </w:tblPr>
      <w:tblGrid>
        <w:gridCol w:w="916"/>
        <w:gridCol w:w="586"/>
        <w:gridCol w:w="589"/>
        <w:gridCol w:w="211"/>
        <w:gridCol w:w="651"/>
        <w:gridCol w:w="109"/>
        <w:gridCol w:w="109"/>
        <w:gridCol w:w="109"/>
        <w:gridCol w:w="109"/>
        <w:gridCol w:w="211"/>
        <w:gridCol w:w="651"/>
        <w:gridCol w:w="109"/>
        <w:gridCol w:w="109"/>
        <w:gridCol w:w="109"/>
        <w:gridCol w:w="109"/>
        <w:gridCol w:w="286"/>
        <w:gridCol w:w="856"/>
        <w:gridCol w:w="149"/>
        <w:gridCol w:w="109"/>
        <w:gridCol w:w="109"/>
        <w:gridCol w:w="109"/>
        <w:gridCol w:w="211"/>
        <w:gridCol w:w="651"/>
        <w:gridCol w:w="109"/>
        <w:gridCol w:w="109"/>
        <w:gridCol w:w="109"/>
        <w:gridCol w:w="109"/>
        <w:gridCol w:w="211"/>
        <w:gridCol w:w="616"/>
        <w:gridCol w:w="109"/>
        <w:gridCol w:w="109"/>
        <w:gridCol w:w="109"/>
        <w:gridCol w:w="109"/>
        <w:gridCol w:w="283"/>
        <w:gridCol w:w="846"/>
        <w:gridCol w:w="210"/>
      </w:tblGrid>
      <w:tr>
        <w:trPr/>
        <w:tc>
          <w:tcPr>
            <w:tcW w:w="9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benefit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benefit cost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 liability</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 liability</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accumulated benefit obligation for the U.S. defined benefit pension plans was $3.2 million and $3.6 million at December 31, 2025 and 2024, respectively. The accumulated benefit obligation for the U.K. defined benefit pension plans was $468.7 million and $420.6 million at December 31, 2025 and 2024, respectively.</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Accumulated and Projected Benefit Obligations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pension plans with projected benefit obligations and accumulated benefit obligations in excess of plan assets:</w:t>
      </w:r>
    </w:p>
    <w:tbl>
      <w:tblPr>
        <w:tblW w:w="7484" w:type="dxa"/>
        <w:jc w:val="left"/>
        <w:tblInd w:w="0" w:type="dxa"/>
        <w:tblLayout w:type="fixed"/>
        <w:tblCellMar>
          <w:top w:w="28" w:type="dxa"/>
          <w:left w:w="28" w:type="dxa"/>
          <w:bottom w:w="28" w:type="dxa"/>
          <w:right w:w="28" w:type="dxa"/>
        </w:tblCellMar>
      </w:tblPr>
      <w:tblGrid>
        <w:gridCol w:w="982"/>
        <w:gridCol w:w="865"/>
        <w:gridCol w:w="8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Costs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(credit) recognized in the statement of operations were as follows:</w:t>
      </w:r>
    </w:p>
    <w:tbl>
      <w:tblPr>
        <w:tblW w:w="11745" w:type="dxa"/>
        <w:jc w:val="left"/>
        <w:tblInd w:w="0" w:type="dxa"/>
        <w:tblLayout w:type="fixed"/>
        <w:tblCellMar>
          <w:top w:w="28" w:type="dxa"/>
          <w:left w:w="28" w:type="dxa"/>
          <w:bottom w:w="28" w:type="dxa"/>
          <w:right w:w="28" w:type="dxa"/>
        </w:tblCellMar>
      </w:tblPr>
      <w:tblGrid>
        <w:gridCol w:w="606"/>
        <w:gridCol w:w="259"/>
        <w:gridCol w:w="231"/>
        <w:gridCol w:w="211"/>
        <w:gridCol w:w="466"/>
        <w:gridCol w:w="109"/>
        <w:gridCol w:w="109"/>
        <w:gridCol w:w="109"/>
        <w:gridCol w:w="109"/>
        <w:gridCol w:w="211"/>
        <w:gridCol w:w="616"/>
        <w:gridCol w:w="109"/>
        <w:gridCol w:w="109"/>
        <w:gridCol w:w="109"/>
        <w:gridCol w:w="109"/>
        <w:gridCol w:w="241"/>
        <w:gridCol w:w="550"/>
        <w:gridCol w:w="125"/>
        <w:gridCol w:w="109"/>
        <w:gridCol w:w="109"/>
        <w:gridCol w:w="109"/>
        <w:gridCol w:w="211"/>
        <w:gridCol w:w="631"/>
        <w:gridCol w:w="109"/>
        <w:gridCol w:w="109"/>
        <w:gridCol w:w="109"/>
        <w:gridCol w:w="109"/>
        <w:gridCol w:w="211"/>
        <w:gridCol w:w="616"/>
        <w:gridCol w:w="109"/>
        <w:gridCol w:w="109"/>
        <w:gridCol w:w="109"/>
        <w:gridCol w:w="109"/>
        <w:gridCol w:w="241"/>
        <w:gridCol w:w="550"/>
        <w:gridCol w:w="125"/>
        <w:gridCol w:w="109"/>
        <w:gridCol w:w="109"/>
        <w:gridCol w:w="109"/>
        <w:gridCol w:w="211"/>
        <w:gridCol w:w="466"/>
        <w:gridCol w:w="109"/>
        <w:gridCol w:w="109"/>
        <w:gridCol w:w="109"/>
        <w:gridCol w:w="109"/>
        <w:gridCol w:w="211"/>
        <w:gridCol w:w="525"/>
        <w:gridCol w:w="109"/>
        <w:gridCol w:w="109"/>
        <w:gridCol w:w="109"/>
        <w:gridCol w:w="109"/>
        <w:gridCol w:w="239"/>
        <w:gridCol w:w="546"/>
        <w:gridCol w:w="176"/>
      </w:tblGrid>
      <w:tr>
        <w:trPr/>
        <w:tc>
          <w:tcPr>
            <w:tcW w:w="6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9"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 recognition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U.K. pension plan actuarial loss for the year ended December 31, 2025 is primarily due to a decline in assets held by the plan outside of the annuity contracts due to payments of operating expenses of the IPC Plan. The U.S. pension plans actuarial gain for the year ended December 31, 2024 primarily relates to the final annuity contract pricing and lump sum payments for the funded plan, partially offset by investment performance and plan expenses. The curtailment gain was triggered by the freeze of the unfunded plan discussed above.</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(credit), other than the service cost component, are included in “Other income, net” in the statement of operations. </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Assumptions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Benefit obligations were determined using the following weighted average assumptions:</w:t>
      </w:r>
    </w:p>
    <w:p>
      <w:pPr>
        <w:pStyle w:val="TextBody"/>
        <w:bidi w:val="0"/>
        <w:spacing w:before="0" w:after="0"/>
        <w:ind w:left="0" w:right="0" w:firstLine="450"/>
        <w:jc w:val="left"/>
        <w:rPr/>
      </w:pPr>
      <w:r>
        <w:rPr/>
      </w:r>
    </w:p>
    <w:tbl>
      <w:tblPr>
        <w:tblW w:w="10081" w:type="dxa"/>
        <w:jc w:val="left"/>
        <w:tblInd w:w="0" w:type="dxa"/>
        <w:tblLayout w:type="fixed"/>
        <w:tblCellMar>
          <w:top w:w="28" w:type="dxa"/>
          <w:left w:w="28" w:type="dxa"/>
          <w:bottom w:w="28" w:type="dxa"/>
          <w:right w:w="28" w:type="dxa"/>
        </w:tblCellMar>
      </w:tblPr>
      <w:tblGrid>
        <w:gridCol w:w="976"/>
        <w:gridCol w:w="856"/>
        <w:gridCol w:w="867"/>
        <w:gridCol w:w="210"/>
        <w:gridCol w:w="210"/>
        <w:gridCol w:w="210"/>
        <w:gridCol w:w="160"/>
        <w:gridCol w:w="160"/>
        <w:gridCol w:w="160"/>
        <w:gridCol w:w="210"/>
        <w:gridCol w:w="210"/>
        <w:gridCol w:w="210"/>
        <w:gridCol w:w="160"/>
        <w:gridCol w:w="160"/>
        <w:gridCol w:w="160"/>
        <w:gridCol w:w="430"/>
        <w:gridCol w:w="430"/>
        <w:gridCol w:w="431"/>
        <w:gridCol w:w="109"/>
        <w:gridCol w:w="109"/>
        <w:gridCol w:w="109"/>
        <w:gridCol w:w="210"/>
        <w:gridCol w:w="210"/>
        <w:gridCol w:w="210"/>
        <w:gridCol w:w="158"/>
        <w:gridCol w:w="158"/>
        <w:gridCol w:w="158"/>
        <w:gridCol w:w="210"/>
        <w:gridCol w:w="210"/>
        <w:gridCol w:w="210"/>
        <w:gridCol w:w="158"/>
        <w:gridCol w:w="158"/>
        <w:gridCol w:w="158"/>
        <w:gridCol w:w="391"/>
        <w:gridCol w:w="391"/>
        <w:gridCol w:w="554"/>
      </w:tblGrid>
      <w:tr>
        <w:trPr/>
        <w:tc>
          <w:tcPr>
            <w:tcW w:w="97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balance interest credit rate</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 was determined using the following weighted average assumptions: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694"/>
        <w:gridCol w:w="427"/>
        <w:gridCol w:w="429"/>
        <w:gridCol w:w="171"/>
        <w:gridCol w:w="165"/>
        <w:gridCol w:w="138"/>
        <w:gridCol w:w="127"/>
        <w:gridCol w:w="127"/>
        <w:gridCol w:w="127"/>
        <w:gridCol w:w="171"/>
        <w:gridCol w:w="171"/>
        <w:gridCol w:w="152"/>
        <w:gridCol w:w="127"/>
        <w:gridCol w:w="127"/>
        <w:gridCol w:w="127"/>
        <w:gridCol w:w="305"/>
        <w:gridCol w:w="305"/>
        <w:gridCol w:w="306"/>
        <w:gridCol w:w="109"/>
        <w:gridCol w:w="109"/>
        <w:gridCol w:w="109"/>
        <w:gridCol w:w="171"/>
        <w:gridCol w:w="165"/>
        <w:gridCol w:w="138"/>
        <w:gridCol w:w="127"/>
        <w:gridCol w:w="127"/>
        <w:gridCol w:w="127"/>
        <w:gridCol w:w="171"/>
        <w:gridCol w:w="171"/>
        <w:gridCol w:w="152"/>
        <w:gridCol w:w="127"/>
        <w:gridCol w:w="127"/>
        <w:gridCol w:w="127"/>
        <w:gridCol w:w="305"/>
        <w:gridCol w:w="305"/>
        <w:gridCol w:w="306"/>
        <w:gridCol w:w="109"/>
        <w:gridCol w:w="109"/>
        <w:gridCol w:w="109"/>
        <w:gridCol w:w="169"/>
        <w:gridCol w:w="167"/>
        <w:gridCol w:w="138"/>
        <w:gridCol w:w="126"/>
        <w:gridCol w:w="126"/>
        <w:gridCol w:w="126"/>
        <w:gridCol w:w="169"/>
        <w:gridCol w:w="169"/>
        <w:gridCol w:w="155"/>
        <w:gridCol w:w="126"/>
        <w:gridCol w:w="126"/>
        <w:gridCol w:w="126"/>
        <w:gridCol w:w="281"/>
        <w:gridCol w:w="281"/>
        <w:gridCol w:w="424"/>
      </w:tblGrid>
      <w:tr>
        <w:trPr/>
        <w:tc>
          <w:tcPr>
            <w:tcW w:w="6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w:t>
              <w:br/>
              <w:t>Retirement</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5.48%</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5.46%</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balance interest credit rate</w:t>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assumed healthcare trend rates used to measure the expected cost of benefits for the post-retirement plan were as follows:</w:t>
      </w:r>
    </w:p>
    <w:p>
      <w:pPr>
        <w:pStyle w:val="TextBody"/>
        <w:bidi w:val="0"/>
        <w:spacing w:before="0" w:after="0"/>
        <w:ind w:left="0" w:right="0" w:firstLine="450"/>
        <w:jc w:val="left"/>
        <w:rPr/>
      </w:pPr>
      <w:r>
        <w:rPr/>
      </w:r>
    </w:p>
    <w:tbl>
      <w:tblPr>
        <w:tblW w:w="4536" w:type="dxa"/>
        <w:jc w:val="left"/>
        <w:tblInd w:w="0" w:type="dxa"/>
        <w:tblLayout w:type="fixed"/>
        <w:tblCellMar>
          <w:top w:w="28" w:type="dxa"/>
          <w:left w:w="28" w:type="dxa"/>
          <w:bottom w:w="28" w:type="dxa"/>
          <w:right w:w="28" w:type="dxa"/>
        </w:tblCellMar>
      </w:tblPr>
      <w:tblGrid>
        <w:gridCol w:w="705"/>
        <w:gridCol w:w="621"/>
        <w:gridCol w:w="623"/>
        <w:gridCol w:w="209"/>
        <w:gridCol w:w="209"/>
        <w:gridCol w:w="211"/>
        <w:gridCol w:w="109"/>
        <w:gridCol w:w="109"/>
        <w:gridCol w:w="109"/>
        <w:gridCol w:w="209"/>
        <w:gridCol w:w="209"/>
        <w:gridCol w:w="211"/>
        <w:gridCol w:w="109"/>
        <w:gridCol w:w="109"/>
        <w:gridCol w:w="109"/>
        <w:gridCol w:w="197"/>
        <w:gridCol w:w="197"/>
        <w:gridCol w:w="28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Initial level</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Ultimate level</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to ultimate level</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0"/>
        <w:ind w:left="0" w:right="0" w:firstLine="450"/>
        <w:jc w:val="left"/>
        <w:rPr/>
      </w:pPr>
      <w:r>
        <w:rPr/>
      </w:r>
    </w:p>
    <w:p>
      <w:pPr>
        <w:pStyle w:val="TextBody"/>
        <w:bidi w:val="0"/>
        <w:spacing w:lineRule="auto" w:line="276"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People Inc. utilizes the mark-to-market approach to account for pension and post-retirement benefits, the expected long-term rate of return on assets has no effect on the overall amount of net periodic benefit cost (credit) recorded for the year. The expectation for the U.K. annuity contracts represents the implied yields for those contracts.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market-related value of plan assets is multiplied by the expected long-term rate of return on assets to compute the expected return on plan assets, a component of net periodic benefit cost (credit). The market-related value of plan assets is fair value.</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Plan Assets</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investments of the IPC Plan as of December 31, 2025 and 2024 primarily include insurance annuity contracts and cash and cash equivalents. Refer to further discussion of the insurance annuity contracts above. For discussion of the three levels in the hierarchy of fair values see “</w:t>
      </w:r>
      <w:hyperlink w:anchor="i6619b59be68b4f7a9428d08547de7a6a_55">
        <w:r>
          <w:rPr>
            <w:rStyle w:val="InternetLink"/>
            <w:rFonts w:ascii="Times New Roman;serif" w:hAnsi="Times New Roman;serif"/>
            <w:b w:val="false"/>
            <w:color w:val="0000FF"/>
            <w:sz w:val="20"/>
            <w:u w:val="single"/>
          </w:rPr>
          <w:t>Note 2—Summary of Significant Accounting Policies</w:t>
        </w:r>
      </w:hyperlink>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the U.K. pension plan assets were as follows:</w:t>
      </w:r>
    </w:p>
    <w:tbl>
      <w:tblPr>
        <w:tblW w:w="7335" w:type="dxa"/>
        <w:jc w:val="left"/>
        <w:tblInd w:w="0" w:type="dxa"/>
        <w:tblLayout w:type="fixed"/>
        <w:tblCellMar>
          <w:top w:w="28" w:type="dxa"/>
          <w:left w:w="28" w:type="dxa"/>
          <w:bottom w:w="28" w:type="dxa"/>
          <w:right w:w="28" w:type="dxa"/>
        </w:tblCellMar>
      </w:tblPr>
      <w:tblGrid>
        <w:gridCol w:w="853"/>
        <w:gridCol w:w="749"/>
        <w:gridCol w:w="753"/>
        <w:gridCol w:w="211"/>
        <w:gridCol w:w="61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br/>
              <w:t>Measurements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annuity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35" w:type="dxa"/>
        <w:jc w:val="left"/>
        <w:tblInd w:w="0" w:type="dxa"/>
        <w:tblLayout w:type="fixed"/>
        <w:tblCellMar>
          <w:top w:w="28" w:type="dxa"/>
          <w:left w:w="28" w:type="dxa"/>
          <w:bottom w:w="28" w:type="dxa"/>
          <w:right w:w="28" w:type="dxa"/>
        </w:tblCellMar>
      </w:tblPr>
      <w:tblGrid>
        <w:gridCol w:w="853"/>
        <w:gridCol w:w="749"/>
        <w:gridCol w:w="753"/>
        <w:gridCol w:w="211"/>
        <w:gridCol w:w="61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br/>
              <w:t>Measurements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annuity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annuity contracts held by the IPC Plan are valued using significant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of assets measured at fair value on a recurring basis using significant unobservable inputs (Level 3):</w:t>
      </w:r>
    </w:p>
    <w:tbl>
      <w:tblPr>
        <w:tblW w:w="5078" w:type="dxa"/>
        <w:jc w:val="left"/>
        <w:tblInd w:w="0" w:type="dxa"/>
        <w:tblLayout w:type="fixed"/>
        <w:tblCellMar>
          <w:top w:w="28" w:type="dxa"/>
          <w:left w:w="28" w:type="dxa"/>
          <w:bottom w:w="28" w:type="dxa"/>
          <w:right w:w="28" w:type="dxa"/>
        </w:tblCellMar>
      </w:tblPr>
      <w:tblGrid>
        <w:gridCol w:w="875"/>
        <w:gridCol w:w="766"/>
        <w:gridCol w:w="773"/>
        <w:gridCol w:w="211"/>
        <w:gridCol w:w="826"/>
        <w:gridCol w:w="109"/>
        <w:gridCol w:w="109"/>
        <w:gridCol w:w="109"/>
        <w:gridCol w:w="109"/>
        <w:gridCol w:w="211"/>
        <w:gridCol w:w="82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3 investments for the years ended December 31, 2025 and 2024.</w:t>
      </w:r>
    </w:p>
    <w:p>
      <w:pPr>
        <w:pStyle w:val="TextBody"/>
        <w:bidi w:val="0"/>
        <w:spacing w:lineRule="auto" w:line="247" w:before="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has deposited amounts into an escrow account for the benefit of the IPC Plan that total £5.8 million at December 31, 2025. People Inc. is not expected to be required to make additional contributions to the IPC Plan, however, People Inc. is expected to be required to provide funding to cover the IPC Plan’s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benefit payments for the U.S. will be made from People Inc.’s current funds and the payments for the U.K. plan will primarily be made from the funded IPC Plan; the benefit payments expected to be paid are as follows:</w:t>
      </w:r>
    </w:p>
    <w:tbl>
      <w:tblPr>
        <w:tblW w:w="7685" w:type="dxa"/>
        <w:jc w:val="left"/>
        <w:tblInd w:w="0" w:type="dxa"/>
        <w:tblLayout w:type="fixed"/>
        <w:tblCellMar>
          <w:top w:w="28" w:type="dxa"/>
          <w:left w:w="28" w:type="dxa"/>
          <w:bottom w:w="28" w:type="dxa"/>
          <w:right w:w="28" w:type="dxa"/>
        </w:tblCellMar>
      </w:tblPr>
      <w:tblGrid>
        <w:gridCol w:w="1084"/>
        <w:gridCol w:w="955"/>
        <w:gridCol w:w="960"/>
        <w:gridCol w:w="211"/>
        <w:gridCol w:w="616"/>
        <w:gridCol w:w="109"/>
        <w:gridCol w:w="109"/>
        <w:gridCol w:w="109"/>
        <w:gridCol w:w="109"/>
        <w:gridCol w:w="211"/>
        <w:gridCol w:w="826"/>
        <w:gridCol w:w="109"/>
        <w:gridCol w:w="109"/>
        <w:gridCol w:w="109"/>
        <w:gridCol w:w="109"/>
        <w:gridCol w:w="419"/>
        <w:gridCol w:w="1223"/>
        <w:gridCol w:w="308"/>
      </w:tblGrid>
      <w:tr>
        <w:trPr/>
        <w:tc>
          <w:tcPr>
            <w:tcW w:w="10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 Benefits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Defined Contribution Plans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Incorporated employees in the U.S. can elect to participate in a retirement savings program at People Incorporated which qualifies under Section 401(k) of the Internal Revenue Code. Under this plan, participating employees may contribute up to 50% of their eligible compensation, but not more than statutory limits. The Company matches 100% of the first 10% of an employee’s pre-tax or Roth contribution, subject to IRS limits on the Company’s matching contribution maximum, that a participant contributes to People Incorporated’s retirement savings plan, with certain exceptions at People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described in the "U.S. Pension Plans and Post-Retirement Plan" section above, $16.0 million of remaining assets of the U.S. funded pension plan were transferred to People Incorporated’s retirement savings plan in 2024 and were allocated to active People Inc. participants in the Company’s retirement savings plan in 2024 and 2025. Therefore, People Inc. changed its 2025 contributions for nearly all active participants in People Incorporated’s retirement savings plan , excluding Dotdash employees hired before January 1, 2023, the date the former Meredith Savings and Investment Plan, which is the plan assumed by People Inc. with the 2021 acquisition of Meredith, merged with People Incorporated’s retirement savings plan. In 2025, these employees received a contribution from People Inc. of 5% of eligible compensation up to a maximum amount of $10,000 per participant on an annual basis. From January 1, 2023 until December 31, 2024, these employees received a match from the Company of 100% of the first 5% of pre-tax or Roth contributions. Dotdash employees located in the U.S. hired before January 1, 2023 receive a match consistent with all other participants to People Incorporated’s retirement savings plan.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Incorporated’s retirement savings plan generally limits Company matching contributions subject to a maximum of $10,000 per participant on an annual basis. Matching contributions to this plan for the years ended December 31, 2025, 2024 and 2023 were $22.1 million, $22.5 million and $21.6 million, respectively. Matching contributions are invested in the same manner as each participant’s voluntary contributions in the investment options provided under the Company’s retirement savings plan. An investment option in this plan is People Incorporated common stock, but neither participant nor matching contributions are required to be invested in People Incorporated common stock. The Company’s retirement savings plan also provides for a discretionary matching contribution and/or a discretionary profit-sharing contribution, each of which is made on an annual basis and is subject to a last day of the plan year allocation requirement (with exceptions for retirement, death, or disability). There was no such discretionary matching contribution or discretionary profit-sharing contribution for the years ended December 31, 2025, 2024 and 2023.</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has or participates in various benefit plans, principally defined contribution plans, for its international employees. the Company’s contributions to these plans for both the years ended December 31, 2025 and 2024 were $0.3 million and for the year ended December 31, 2023 were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12—INCOME TAXES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U.S. and foreign (loss) earnings from continuing operations before income taxes and noncontrolling interests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4858" w:type="dxa"/>
        <w:jc w:val="left"/>
        <w:tblInd w:w="0" w:type="dxa"/>
        <w:tblLayout w:type="fixed"/>
        <w:tblCellMar>
          <w:top w:w="28" w:type="dxa"/>
          <w:left w:w="28" w:type="dxa"/>
          <w:bottom w:w="28" w:type="dxa"/>
          <w:right w:w="28" w:type="dxa"/>
        </w:tblCellMar>
      </w:tblPr>
      <w:tblGrid>
        <w:gridCol w:w="271"/>
        <w:gridCol w:w="239"/>
        <w:gridCol w:w="241"/>
        <w:gridCol w:w="211"/>
        <w:gridCol w:w="721"/>
        <w:gridCol w:w="109"/>
        <w:gridCol w:w="109"/>
        <w:gridCol w:w="109"/>
        <w:gridCol w:w="109"/>
        <w:gridCol w:w="211"/>
        <w:gridCol w:w="901"/>
        <w:gridCol w:w="109"/>
        <w:gridCol w:w="109"/>
        <w:gridCol w:w="109"/>
        <w:gridCol w:w="109"/>
        <w:gridCol w:w="211"/>
        <w:gridCol w:w="82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the income tax provision (benefit) are as follows:</w:t>
      </w:r>
    </w:p>
    <w:tbl>
      <w:tblPr>
        <w:tblW w:w="7662" w:type="dxa"/>
        <w:jc w:val="left"/>
        <w:tblInd w:w="0" w:type="dxa"/>
        <w:tblLayout w:type="fixed"/>
        <w:tblCellMar>
          <w:top w:w="28" w:type="dxa"/>
          <w:left w:w="28" w:type="dxa"/>
          <w:bottom w:w="28" w:type="dxa"/>
          <w:right w:w="28" w:type="dxa"/>
        </w:tblCellMar>
      </w:tblPr>
      <w:tblGrid>
        <w:gridCol w:w="1326"/>
        <w:gridCol w:w="1163"/>
        <w:gridCol w:w="1171"/>
        <w:gridCol w:w="211"/>
        <w:gridCol w:w="721"/>
        <w:gridCol w:w="109"/>
        <w:gridCol w:w="109"/>
        <w:gridCol w:w="109"/>
        <w:gridCol w:w="109"/>
        <w:gridCol w:w="211"/>
        <w:gridCol w:w="901"/>
        <w:gridCol w:w="109"/>
        <w:gridCol w:w="109"/>
        <w:gridCol w:w="109"/>
        <w:gridCol w:w="109"/>
        <w:gridCol w:w="211"/>
        <w:gridCol w:w="72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income tax provision: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 provision (benefit):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Deferred income tax provision (benefit)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income tax (benefit) provision to the amounts computed by applying the statutory federal income tax rate to earnings from continuing operations before income taxes is shown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349"/>
        <w:gridCol w:w="959"/>
        <w:gridCol w:w="961"/>
        <w:gridCol w:w="211"/>
        <w:gridCol w:w="721"/>
        <w:gridCol w:w="109"/>
        <w:gridCol w:w="109"/>
        <w:gridCol w:w="109"/>
        <w:gridCol w:w="109"/>
        <w:gridCol w:w="220"/>
        <w:gridCol w:w="220"/>
        <w:gridCol w:w="221"/>
        <w:gridCol w:w="109"/>
        <w:gridCol w:w="109"/>
        <w:gridCol w:w="109"/>
        <w:gridCol w:w="211"/>
        <w:gridCol w:w="869"/>
        <w:gridCol w:w="109"/>
        <w:gridCol w:w="109"/>
        <w:gridCol w:w="109"/>
        <w:gridCol w:w="109"/>
        <w:gridCol w:w="220"/>
        <w:gridCol w:w="220"/>
        <w:gridCol w:w="221"/>
        <w:gridCol w:w="109"/>
        <w:gridCol w:w="109"/>
        <w:gridCol w:w="109"/>
        <w:gridCol w:w="211"/>
        <w:gridCol w:w="721"/>
        <w:gridCol w:w="109"/>
        <w:gridCol w:w="109"/>
        <w:gridCol w:w="109"/>
        <w:gridCol w:w="109"/>
        <w:gridCol w:w="206"/>
        <w:gridCol w:w="206"/>
        <w:gridCol w:w="296"/>
      </w:tblGrid>
      <w:tr>
        <w:trPr/>
        <w:tc>
          <w:tcPr>
            <w:tcW w:w="134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at the federal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effect of federal tax benefit</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benefits of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in the sale of Mosaic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4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State and local taxes in New York City, New York and Iowa for the year ended December 31, 2025, California and New York for the year ended December 31, 2024 and California and New York City for the year ended December 31, 2023 made up the majority (greater than 50%)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tax effects of cumulative temporary differences that give rise to significant deferred tax assets and deferred tax liabilities are presented below. The valuation allowance relates to deferred tax assets for which it is more likely than not that the tax benefit will not be realized.</w:t>
      </w:r>
    </w:p>
    <w:tbl>
      <w:tblPr>
        <w:tblW w:w="7133" w:type="dxa"/>
        <w:jc w:val="left"/>
        <w:tblInd w:w="0" w:type="dxa"/>
        <w:tblLayout w:type="fixed"/>
        <w:tblCellMar>
          <w:top w:w="28" w:type="dxa"/>
          <w:left w:w="28" w:type="dxa"/>
          <w:bottom w:w="28" w:type="dxa"/>
          <w:right w:w="28" w:type="dxa"/>
        </w:tblCellMar>
      </w:tblPr>
      <w:tblGrid>
        <w:gridCol w:w="1562"/>
        <w:gridCol w:w="1374"/>
        <w:gridCol w:w="1383"/>
        <w:gridCol w:w="211"/>
        <w:gridCol w:w="901"/>
        <w:gridCol w:w="109"/>
        <w:gridCol w:w="109"/>
        <w:gridCol w:w="109"/>
        <w:gridCol w:w="109"/>
        <w:gridCol w:w="211"/>
        <w:gridCol w:w="90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expenditures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U.S. federal and state net operating losses (“NOLs”) of $907.0 million and $418.9 million, respectively, available to offset future income. Federal NOLs of $1.5 million, if not utilized, will expire between 2031 and 2035 and the remaining can be carried forward indefinitely. State NOLs of $358.5 million, if not utilized, will expire between 2026 and 2045 and the remaining can be carried forward indefinitely. Federal and state NOLs of $1.8 million and $76.6 million, respectively, are subject to limitations under Section 382 of the Internal Revenue Code, separate return limitations, and applicable law, and the remaining can be used against future taxable income without restriction. At December 31, 2025, the Company had foreign NOLs of $103.6 million available to offset future income, all of which can be carried forward indefinitely. During 2025, the Company recognized tax benefits related to NOLs of $25.9 million in continuing operations and $46.7 million in discontinued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tax credit carryforwards of $56.1 million. Of this amount, $47.9 million relates to credits for research activities, $6.3 million relates to credits for foreign taxes, and $1.9 million relates to various other credits. Of these credit carryforwards, $13.0 million can be carried forward indefinitely and $46.6 million, if not utilized, will expire between 2026 and 2045.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considering all available evidence including, to the extent applicable, the nature, frequency and severity of prior cumulative losses, forecasts of future taxable income, tax filing status, the duration of statutory carryforward periods, available tax planning and historical experience. At December 31, 2025, the Company had $33.0 million of credit carryforwards, net of unrecognized tax benefits, subject to expiration that the Company expects to fully utilize on a more likely than not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the Company’s valuation allowance decreased by $1.7 million primarily due to a realization of a capital loss and a decrease in foreign NOLs, partially offset by an increase in unbenefited capital losses and foreign currency translation adjustments. At December 31, 2025, the Company had a valuation allowance of $59.9 million related to the portion of tax loss carryforwards, tax credits and other items for which it is more likely than not that the tax benefit will not be realized.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income taxes paid, net of refunds, is as follows:</w:t>
      </w:r>
    </w:p>
    <w:tbl>
      <w:tblPr>
        <w:tblW w:w="4302" w:type="dxa"/>
        <w:jc w:val="left"/>
        <w:tblInd w:w="0" w:type="dxa"/>
        <w:tblLayout w:type="fixed"/>
        <w:tblCellMar>
          <w:top w:w="28" w:type="dxa"/>
          <w:left w:w="28" w:type="dxa"/>
          <w:bottom w:w="28" w:type="dxa"/>
          <w:right w:w="28" w:type="dxa"/>
        </w:tblCellMar>
      </w:tblPr>
      <w:tblGrid>
        <w:gridCol w:w="287"/>
        <w:gridCol w:w="252"/>
        <w:gridCol w:w="256"/>
        <w:gridCol w:w="211"/>
        <w:gridCol w:w="616"/>
        <w:gridCol w:w="109"/>
        <w:gridCol w:w="109"/>
        <w:gridCol w:w="109"/>
        <w:gridCol w:w="109"/>
        <w:gridCol w:w="211"/>
        <w:gridCol w:w="616"/>
        <w:gridCol w:w="109"/>
        <w:gridCol w:w="109"/>
        <w:gridCol w:w="109"/>
        <w:gridCol w:w="109"/>
        <w:gridCol w:w="211"/>
        <w:gridCol w:w="616"/>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paid, net of refunds, exceeded five percent of total income taxes paid, net of refunds, in the following jurisdictions: </w:t>
      </w:r>
    </w:p>
    <w:tbl>
      <w:tblPr>
        <w:tblW w:w="4723" w:type="dxa"/>
        <w:jc w:val="left"/>
        <w:tblInd w:w="0" w:type="dxa"/>
        <w:tblLayout w:type="fixed"/>
        <w:tblCellMar>
          <w:top w:w="28" w:type="dxa"/>
          <w:left w:w="28" w:type="dxa"/>
          <w:bottom w:w="28" w:type="dxa"/>
          <w:right w:w="28" w:type="dxa"/>
        </w:tblCellMar>
      </w:tblPr>
      <w:tblGrid>
        <w:gridCol w:w="439"/>
        <w:gridCol w:w="385"/>
        <w:gridCol w:w="392"/>
        <w:gridCol w:w="211"/>
        <w:gridCol w:w="616"/>
        <w:gridCol w:w="109"/>
        <w:gridCol w:w="109"/>
        <w:gridCol w:w="109"/>
        <w:gridCol w:w="109"/>
        <w:gridCol w:w="211"/>
        <w:gridCol w:w="616"/>
        <w:gridCol w:w="109"/>
        <w:gridCol w:w="109"/>
        <w:gridCol w:w="109"/>
        <w:gridCol w:w="109"/>
        <w:gridCol w:w="211"/>
        <w:gridCol w:w="61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Jurisdiction below the threshold for the period presented.</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including penalties but excluding interest, is as follows:</w:t>
      </w:r>
    </w:p>
    <w:tbl>
      <w:tblPr>
        <w:tblW w:w="8126" w:type="dxa"/>
        <w:jc w:val="left"/>
        <w:tblInd w:w="0" w:type="dxa"/>
        <w:tblLayout w:type="fixed"/>
        <w:tblCellMar>
          <w:top w:w="28" w:type="dxa"/>
          <w:left w:w="28" w:type="dxa"/>
          <w:bottom w:w="28" w:type="dxa"/>
          <w:right w:w="28" w:type="dxa"/>
        </w:tblCellMar>
      </w:tblPr>
      <w:tblGrid>
        <w:gridCol w:w="1596"/>
        <w:gridCol w:w="1404"/>
        <w:gridCol w:w="1409"/>
        <w:gridCol w:w="211"/>
        <w:gridCol w:w="721"/>
        <w:gridCol w:w="109"/>
        <w:gridCol w:w="109"/>
        <w:gridCol w:w="109"/>
        <w:gridCol w:w="109"/>
        <w:gridCol w:w="211"/>
        <w:gridCol w:w="721"/>
        <w:gridCol w:w="109"/>
        <w:gridCol w:w="109"/>
        <w:gridCol w:w="109"/>
        <w:gridCol w:w="109"/>
        <w:gridCol w:w="211"/>
        <w:gridCol w:w="61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statutes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the Distribution, the Company has allocated to Angi a portion of the tax attributes related to the consolidated federal and state tax filings pursuant to the Internal Revenue Code and applicable state law. This allocation requires that the Company’s net deferred tax liability be adjusted in the year of the Distribution with a corresponding adjustment to additional paid-in capital. The allocation of attributes that was recorded as of December 31, 2025 is preliminary and remains subject to further adjustments based upon the filing of the 2025 tax return in the fourth quarter of 2026, amendments to the Company’s taxable income for periods prior to the Distribution and potential tax audits in the future.</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routinely under audit by federal, state, local and foreign authorities in the area of income tax. These audits include questioning the timing and the amount of income and deductions and the allocation of income and deductions among various tax jurisdictions. The IRS is currently auditing the Company’s federal income tax return for the year ended December 31, 2023. Returns filed in various other jurisdictions are open to examination for tax years beginning with 2015. Income taxes payable include unrecognized tax benefits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if applicable, penalties related to unrecognized tax benefits in the income tax provision. At December 31, 2025 and 2024, accruals for interest and penalties are not material.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unrecognized tax benefits, including interest and penalties, were $13.0 million and $11.5 million, respectively. Unrecognized tax benefits, including interest and penalties, at December 31, 2025 increased by $1.5 million due primarily to research credits. If unrecognized tax benefits at December 31, 2025 are subsequently recognized, $12.1 million, net of related deferred tax assets and interest, would reduce income tax expense. The comparable amount at December 31, 2024 was $10.6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13—EARNINGS (LOSS) PER SHARE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treats its common stock and Class B common stock as one class of stock for EPS purposes as both classes of stock participate in earnings, dividends and other distributions on the same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13, 2025, the 3.0 million restricted shares previously issued to our former CEO on November 5, 2020, which was a participating security, was forfeited by our former CEO pursuant to the Employment Transition Agreement. The Company calculated basic EPS using the two-class method prior to the restricted shares being forfeited because those restricted shares were unvested and had a non-forfeitable dividend right in the event the Company declared a cash dividend on its common shares and would have participated in all other distributions of the Company in the same manner as all other People Incorporated common shares. Diluted EPS is calculated on the most dilutive basis, which excludes stock-based awards that would be anti-dilutive, including prior to its forfeiture the restricted shares previously granted to our former CEO.</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EPS is computed by dividing net earnings (loss) attributable to holders of People Incorporated common stock and Class B common stock by the weighted-average number of shares of common stock and Class B common stock outstanding during the period. If more dilutive, while the restricted shares were outstanding, undistributed earnings allocated to the participating security was subtracted from earnings in determining earnings attributable to holders of People Incorporated common stock and Class B common stock for basic EPS.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is computed by dividing net earnings (loss) attributable to holders of People Incorporated common stock and Class B common stock by the weighted-average number of common stock and Class B common stock outstanding plus dilutive securities during the period. If more dilutive, while the restricted shares were outstanding, diluted EPS was adjusted for the reallocation of undistributed earnings allocated to the participating security in determining earnings attributable to holders of People Incorporated common stock and Class B common stock for diluted EPS.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 and denominator of basic and diluted EPS computations for the Company’s common stock and Class B common stock are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2270"/>
        <w:gridCol w:w="1846"/>
        <w:gridCol w:w="1872"/>
        <w:gridCol w:w="211"/>
        <w:gridCol w:w="865"/>
        <w:gridCol w:w="109"/>
        <w:gridCol w:w="109"/>
        <w:gridCol w:w="109"/>
        <w:gridCol w:w="109"/>
        <w:gridCol w:w="211"/>
        <w:gridCol w:w="865"/>
        <w:gridCol w:w="109"/>
        <w:gridCol w:w="109"/>
        <w:gridCol w:w="109"/>
        <w:gridCol w:w="109"/>
        <w:gridCol w:w="211"/>
        <w:gridCol w:w="826"/>
        <w:gridCol w:w="156"/>
      </w:tblGrid>
      <w:tr>
        <w:trPr/>
        <w:tc>
          <w:tcPr>
            <w:tcW w:w="22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 of continuing operations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attributed to unvested participating security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People Incorporated common stock and Class B common stock shareholders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tax</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 of discontinued operations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attributed to unvested participating security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 attributable to People Incorporated common stock and Class B common stock shareholders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People Incorporated common stock and Class B common stock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basic People Incorporated common stock and Class B common stock shares outstanding</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from continuing operations attributable to People Incorporated common stock and Class B common stock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from discontinued operations, net of tax, attributable to People Incorporated common stock and Class B common stock shareholders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attributable to People Incorporated common stock and Class B common stock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2303"/>
        <w:gridCol w:w="1873"/>
        <w:gridCol w:w="1812"/>
        <w:gridCol w:w="211"/>
        <w:gridCol w:w="865"/>
        <w:gridCol w:w="109"/>
        <w:gridCol w:w="109"/>
        <w:gridCol w:w="109"/>
        <w:gridCol w:w="109"/>
        <w:gridCol w:w="211"/>
        <w:gridCol w:w="865"/>
        <w:gridCol w:w="109"/>
        <w:gridCol w:w="109"/>
        <w:gridCol w:w="109"/>
        <w:gridCol w:w="109"/>
        <w:gridCol w:w="211"/>
        <w:gridCol w:w="826"/>
        <w:gridCol w:w="156"/>
      </w:tblGrid>
      <w:tr>
        <w:trPr/>
        <w:tc>
          <w:tcPr>
            <w:tcW w:w="230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 of continuing operations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attributed to unvested participating security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People Incorporated common stock and Class B common stock shareholders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tax</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 of discontinued operations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attributed to unvested participating security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 attributable to People Incorporated common stock and Class B common stock shareholders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People Incorporated common stock and Class B common stock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basic People Incorporated common stock and Class B common stock shares outstanding</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Dilutive securities</w:t>
            </w:r>
            <w:r>
              <w:rPr>
                <w:rFonts w:ascii="Times New Roman;serif" w:hAnsi="Times New Roman;serif"/>
                <w:b w:val="false"/>
                <w:color w:val="000000"/>
                <w:sz w:val="13"/>
              </w:rPr>
              <w:t>(a)(b)</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Denominator for earnings per share—weighted average shares</w:t>
            </w:r>
            <w:r>
              <w:rPr>
                <w:rFonts w:ascii="Times New Roman;serif" w:hAnsi="Times New Roman;serif"/>
                <w:b w:val="false"/>
                <w:color w:val="000000"/>
                <w:sz w:val="13"/>
              </w:rPr>
              <w:t>(a)(b)</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from continuing operations attributable to People Incorporated common stock and Class B common stock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from discontinued operations, net of tax, attributable to People Incorporated common stock and Class B common stock shareholders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attributable to People Incorporated common stock and Class B common stock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If the effect is dilutive, weighted average common shares outstanding include the incremental shares that would be issued upon the assumed exercise of stock options and subsidiary denominated equity; vesting of RSUs; and vesting of restricted common stock and PSUs, if applicable. For the years ended December 31, 2025 and 2023, 0.6 million and 3.6 million of potentially dilutive securities, respectively, were excluded from the calculation of diluted EPS because their inclusion would have been anti-dilutive.</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For the year ended December 31, 2024, the Company had a loss from continuing operations and, as a result, approximately 8.5 million potentially dilutive securities were excluded from computing diluted EPS because the impact would have been anti-dilutive. Accordingly, the weighted average basic shares outstanding were used to compute the EPS amounts.</w:t>
      </w:r>
    </w:p>
    <w:p>
      <w:pPr>
        <w:pStyle w:val="TextBody"/>
        <w:bidi w:val="0"/>
        <w:spacing w:before="12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14—FINANCIAL STATEMENT DETAILS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Cash and Cash Equivalents and Restricted Cash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balance sheet to the total amounts shown in the statement of cash flows:</w:t>
      </w:r>
    </w:p>
    <w:tbl>
      <w:tblPr>
        <w:tblW w:w="10205" w:type="dxa"/>
        <w:jc w:val="left"/>
        <w:tblInd w:w="0" w:type="dxa"/>
        <w:tblLayout w:type="fixed"/>
        <w:tblCellMar>
          <w:top w:w="28" w:type="dxa"/>
          <w:left w:w="28" w:type="dxa"/>
          <w:bottom w:w="28" w:type="dxa"/>
          <w:right w:w="28" w:type="dxa"/>
        </w:tblCellMar>
      </w:tblPr>
      <w:tblGrid>
        <w:gridCol w:w="1413"/>
        <w:gridCol w:w="1176"/>
        <w:gridCol w:w="1182"/>
        <w:gridCol w:w="236"/>
        <w:gridCol w:w="924"/>
        <w:gridCol w:w="121"/>
        <w:gridCol w:w="109"/>
        <w:gridCol w:w="109"/>
        <w:gridCol w:w="109"/>
        <w:gridCol w:w="223"/>
        <w:gridCol w:w="1035"/>
        <w:gridCol w:w="115"/>
        <w:gridCol w:w="109"/>
        <w:gridCol w:w="109"/>
        <w:gridCol w:w="109"/>
        <w:gridCol w:w="223"/>
        <w:gridCol w:w="1035"/>
        <w:gridCol w:w="115"/>
        <w:gridCol w:w="109"/>
        <w:gridCol w:w="109"/>
        <w:gridCol w:w="109"/>
        <w:gridCol w:w="223"/>
        <w:gridCol w:w="1033"/>
        <w:gridCol w:w="170"/>
      </w:tblGrid>
      <w:tr>
        <w:trPr/>
        <w:tc>
          <w:tcPr>
            <w:tcW w:w="141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2022</w:t>
            </w:r>
          </w:p>
        </w:tc>
      </w:tr>
      <w:tr>
        <w:trPr/>
        <w:tc>
          <w:tcPr>
            <w:tcW w:w="3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915,376 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current assets of discontinued operations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of discontinued operations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as shown on the statement of cash flows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986,831 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1,426,069 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Restricted cash in all periods presented principally consists of cash held in escrow related to the IPC Plan at People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w:t>
      </w:r>
    </w:p>
    <w:tbl>
      <w:tblPr>
        <w:tblW w:w="5679" w:type="dxa"/>
        <w:jc w:val="left"/>
        <w:tblInd w:w="0" w:type="dxa"/>
        <w:tblLayout w:type="fixed"/>
        <w:tblCellMar>
          <w:top w:w="28" w:type="dxa"/>
          <w:left w:w="28" w:type="dxa"/>
          <w:bottom w:w="28" w:type="dxa"/>
          <w:right w:w="28" w:type="dxa"/>
        </w:tblCellMar>
      </w:tblPr>
      <w:tblGrid>
        <w:gridCol w:w="1245"/>
        <w:gridCol w:w="1090"/>
        <w:gridCol w:w="1100"/>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Other current assets</w:t>
      </w:r>
    </w:p>
    <w:tbl>
      <w:tblPr>
        <w:tblW w:w="4253" w:type="dxa"/>
        <w:jc w:val="left"/>
        <w:tblInd w:w="0" w:type="dxa"/>
        <w:tblLayout w:type="fixed"/>
        <w:tblCellMar>
          <w:top w:w="28" w:type="dxa"/>
          <w:left w:w="28" w:type="dxa"/>
          <w:bottom w:w="28" w:type="dxa"/>
          <w:right w:w="28" w:type="dxa"/>
        </w:tblCellMar>
      </w:tblPr>
      <w:tblGrid>
        <w:gridCol w:w="614"/>
        <w:gridCol w:w="538"/>
        <w:gridCol w:w="542"/>
        <w:gridCol w:w="211"/>
        <w:gridCol w:w="721"/>
        <w:gridCol w:w="109"/>
        <w:gridCol w:w="109"/>
        <w:gridCol w:w="109"/>
        <w:gridCol w:w="109"/>
        <w:gridCol w:w="211"/>
        <w:gridCol w:w="82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Buildings, land, equipment, leasehold improvements and capitalized software, net</w:t>
      </w:r>
    </w:p>
    <w:tbl>
      <w:tblPr>
        <w:tblW w:w="9428" w:type="dxa"/>
        <w:jc w:val="left"/>
        <w:tblInd w:w="0" w:type="dxa"/>
        <w:tblLayout w:type="fixed"/>
        <w:tblCellMar>
          <w:top w:w="28" w:type="dxa"/>
          <w:left w:w="28" w:type="dxa"/>
          <w:bottom w:w="28" w:type="dxa"/>
          <w:right w:w="28" w:type="dxa"/>
        </w:tblCellMar>
      </w:tblPr>
      <w:tblGrid>
        <w:gridCol w:w="2446"/>
        <w:gridCol w:w="2145"/>
        <w:gridCol w:w="2173"/>
        <w:gridCol w:w="211"/>
        <w:gridCol w:w="826"/>
        <w:gridCol w:w="109"/>
        <w:gridCol w:w="109"/>
        <w:gridCol w:w="109"/>
        <w:gridCol w:w="109"/>
        <w:gridCol w:w="211"/>
        <w:gridCol w:w="82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(including furniture)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Projects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carrying amount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land, equipment, leasehold improvements and capitalized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tbl>
      <w:tblPr>
        <w:tblW w:w="6519" w:type="dxa"/>
        <w:jc w:val="left"/>
        <w:tblInd w:w="0" w:type="dxa"/>
        <w:tblLayout w:type="fixed"/>
        <w:tblCellMar>
          <w:top w:w="28" w:type="dxa"/>
          <w:left w:w="28" w:type="dxa"/>
          <w:bottom w:w="28" w:type="dxa"/>
          <w:right w:w="28" w:type="dxa"/>
        </w:tblCellMar>
      </w:tblPr>
      <w:tblGrid>
        <w:gridCol w:w="1397"/>
        <w:gridCol w:w="1226"/>
        <w:gridCol w:w="1232"/>
        <w:gridCol w:w="211"/>
        <w:gridCol w:w="826"/>
        <w:gridCol w:w="109"/>
        <w:gridCol w:w="109"/>
        <w:gridCol w:w="109"/>
        <w:gridCol w:w="109"/>
        <w:gridCol w:w="211"/>
        <w:gridCol w:w="82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2440"/>
        <w:gridCol w:w="2001"/>
        <w:gridCol w:w="1940"/>
        <w:gridCol w:w="211"/>
        <w:gridCol w:w="721"/>
        <w:gridCol w:w="109"/>
        <w:gridCol w:w="109"/>
        <w:gridCol w:w="109"/>
        <w:gridCol w:w="109"/>
        <w:gridCol w:w="211"/>
        <w:gridCol w:w="721"/>
        <w:gridCol w:w="109"/>
        <w:gridCol w:w="109"/>
        <w:gridCol w:w="109"/>
        <w:gridCol w:w="109"/>
        <w:gridCol w:w="211"/>
        <w:gridCol w:w="721"/>
        <w:gridCol w:w="156"/>
      </w:tblGrid>
      <w:tr>
        <w:trPr/>
        <w:tc>
          <w:tcPr>
            <w:tcW w:w="244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related to the allocation of a disputed gain on a real estate transaction</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(downward) upward adjustments to the carrying value of equity securities without readily determinable fair values and net gains (losses) on sales of investments and businesses (including unrealized losses on investments)</w:t>
            </w:r>
            <w:r>
              <w:rPr>
                <w:rFonts w:ascii="Times New Roman;serif" w:hAnsi="Times New Roman;serif"/>
                <w:b w:val="false"/>
                <w:color w:val="000000"/>
                <w:sz w:val="13"/>
              </w:rPr>
              <w:t>(b)(c)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 Credit Agreement amendment costs</w:t>
            </w:r>
            <w:r>
              <w:rPr>
                <w:rFonts w:ascii="Times New Roman;serif" w:hAnsi="Times New Roman;serif"/>
                <w:b w:val="false"/>
                <w:color w:val="000000"/>
                <w:sz w:val="13"/>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the estimated fair value of a warrant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12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120" w:after="12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See “</w:t>
      </w:r>
      <w:hyperlink w:anchor="i6619b59be68b4f7a9428d08547de7a6a_103">
        <w:r>
          <w:rPr>
            <w:rStyle w:val="InternetLink"/>
            <w:rFonts w:ascii="Times New Roman;serif" w:hAnsi="Times New Roman;serif"/>
            <w:b w:val="false"/>
            <w:color w:val="0000FF"/>
            <w:sz w:val="16"/>
            <w:u w:val="single"/>
          </w:rPr>
          <w:t>Note 15—Contingencies</w:t>
        </w:r>
      </w:hyperlink>
      <w:r>
        <w:rPr>
          <w:color w:val="000000"/>
        </w:rPr>
        <w:t xml:space="preserve">” </w:t>
      </w:r>
      <w:r>
        <w:rPr>
          <w:rFonts w:ascii="Times New Roman;serif" w:hAnsi="Times New Roman;serif"/>
          <w:b w:val="false"/>
          <w:color w:val="000000"/>
          <w:sz w:val="16"/>
        </w:rPr>
        <w:t xml:space="preserve">for additional information. </w:t>
      </w:r>
    </w:p>
    <w:p>
      <w:pPr>
        <w:pStyle w:val="TextBody"/>
        <w:bidi w:val="0"/>
        <w:spacing w:lineRule="auto" w:line="268" w:before="120" w:after="120"/>
        <w:ind w:left="0" w:right="0" w:hanging="360"/>
        <w:jc w:val="left"/>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downward and upward adjustments to the carrying value of equity securities without readily determinable fair values. For the years ended December 31, 2025, 2024 and 2023, the Company recorded net downward adjustments of $29.2 million, $32.3 million and $20.2 million, respectively.</w:t>
      </w:r>
    </w:p>
    <w:p>
      <w:pPr>
        <w:pStyle w:val="TextBody"/>
        <w:bidi w:val="0"/>
        <w:spacing w:lineRule="auto" w:line="268" w:before="120" w:after="120"/>
        <w:ind w:left="0" w:right="0" w:hanging="36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The year ended December 31, 2024, includes a pre-tax gain of $29.2 million on the sale of assets of Mosaic Group, which was included within Emerging &amp; Other, and was accounted for as a sale of a business.</w:t>
      </w:r>
    </w:p>
    <w:p>
      <w:pPr>
        <w:pStyle w:val="TextBody"/>
        <w:bidi w:val="0"/>
        <w:spacing w:lineRule="auto" w:line="288" w:before="0" w:after="0"/>
        <w:ind w:left="0" w:right="0" w:hanging="360"/>
        <w:jc w:val="left"/>
        <w:rPr/>
      </w:pPr>
      <w:r>
        <w:rPr>
          <w:rFonts w:ascii="Times New Roman;serif" w:hAnsi="Times New Roman;serif"/>
          <w:b w:val="false"/>
          <w:color w:val="000000"/>
          <w:sz w:val="10"/>
        </w:rPr>
        <w:t>(d)     </w:t>
      </w:r>
      <w:r>
        <w:rPr>
          <w:rFonts w:ascii="Times New Roman;serif" w:hAnsi="Times New Roman;serif"/>
          <w:b w:val="false"/>
          <w:color w:val="000000"/>
          <w:sz w:val="16"/>
        </w:rPr>
        <w:t>The year ended December 31, 2025 amount represents third-party fees incurred in connection with Amendment No.2, the Indenture and Amendment No. 3, and the year ended December 31, 2024 amount represents third-party fees incurred in connection with Amendment No.1. See “</w:t>
      </w:r>
      <w:hyperlink w:anchor="i6619b59be68b4f7a9428d08547de7a6a_70">
        <w:r>
          <w:rPr>
            <w:rStyle w:val="InternetLink"/>
            <w:rFonts w:ascii="Times New Roman;serif" w:hAnsi="Times New Roman;serif"/>
            <w:b w:val="false"/>
            <w:color w:val="0000FF"/>
            <w:sz w:val="16"/>
            <w:u w:val="single"/>
          </w:rPr>
          <w:t>Note 6—Long-term debt</w:t>
        </w:r>
      </w:hyperlink>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bl>
      <w:tblPr>
        <w:tblW w:w="7737" w:type="dxa"/>
        <w:jc w:val="left"/>
        <w:tblInd w:w="0" w:type="dxa"/>
        <w:tblLayout w:type="fixed"/>
        <w:tblCellMar>
          <w:top w:w="28" w:type="dxa"/>
          <w:left w:w="28" w:type="dxa"/>
          <w:bottom w:w="28" w:type="dxa"/>
          <w:right w:w="28" w:type="dxa"/>
        </w:tblCellMar>
      </w:tblPr>
      <w:tblGrid>
        <w:gridCol w:w="1302"/>
        <w:gridCol w:w="1147"/>
        <w:gridCol w:w="1151"/>
        <w:gridCol w:w="211"/>
        <w:gridCol w:w="826"/>
        <w:gridCol w:w="109"/>
        <w:gridCol w:w="109"/>
        <w:gridCol w:w="109"/>
        <w:gridCol w:w="109"/>
        <w:gridCol w:w="211"/>
        <w:gridCol w:w="826"/>
        <w:gridCol w:w="109"/>
        <w:gridCol w:w="109"/>
        <w:gridCol w:w="109"/>
        <w:gridCol w:w="109"/>
        <w:gridCol w:w="211"/>
        <w:gridCol w:w="82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paid during the year for interest, net</w:t>
            </w:r>
            <w:r>
              <w:rPr>
                <w:rFonts w:ascii="Times New Roman;serif" w:hAnsi="Times New Roman;serif"/>
                <w:b w:val="false"/>
                <w:color w:val="000000"/>
                <w:sz w:val="13"/>
              </w:rPr>
              <w:t>(f)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rFonts w:ascii="Times New Roman;serif" w:hAnsi="Times New Roman;serif"/>
          <w:b w:val="false"/>
          <w:color w:val="000000"/>
          <w:sz w:val="10"/>
        </w:rPr>
        <w:t>(f)</w:t>
      </w:r>
      <w:r>
        <w:rPr>
          <w:color w:val="000000"/>
        </w:rPr>
        <w:t xml:space="preserve">     </w:t>
      </w:r>
      <w:r>
        <w:rPr>
          <w:rFonts w:ascii="Times New Roman;serif" w:hAnsi="Times New Roman;serif"/>
          <w:b w:val="false"/>
          <w:color w:val="000000"/>
          <w:sz w:val="16"/>
        </w:rPr>
        <w:t>The years ended December 31, 2025, 2024 and 2023 include receipts of $1.7 million, $5.0 million and $3.2 million, respectively, related to the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15—CONTINGENCIES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and/or financial condition of the Company. See “</w:t>
      </w:r>
      <w:hyperlink w:anchor="i6619b59be68b4f7a9428d08547de7a6a_94">
        <w:r>
          <w:rPr>
            <w:rStyle w:val="InternetLink"/>
            <w:rFonts w:ascii="Times New Roman;serif" w:hAnsi="Times New Roman;serif"/>
            <w:b w:val="false"/>
            <w:color w:val="0000FF"/>
            <w:sz w:val="20"/>
            <w:u w:val="single"/>
          </w:rPr>
          <w:t>Note 12—Income Taxes</w:t>
        </w:r>
      </w:hyperlink>
      <w:r>
        <w:rPr>
          <w:color w:val="000000"/>
        </w:rPr>
        <w:t xml:space="preserve">” </w:t>
      </w:r>
      <w:r>
        <w:rPr>
          <w:rFonts w:ascii="Times New Roman;serif" w:hAnsi="Times New Roman;serif"/>
          <w:b w:val="false"/>
          <w:color w:val="000000"/>
          <w:sz w:val="20"/>
        </w:rPr>
        <w:t>for information related to unrecognized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pPr>
      <w:r>
        <w:rPr>
          <w:rFonts w:ascii="Times New Roman;serif" w:hAnsi="Times New Roman;serif"/>
          <w:b w:val="false"/>
          <w:color w:val="000000"/>
          <w:sz w:val="20"/>
        </w:rPr>
        <w:t>On October 24, 2025, the Company received an adverse jury verdict in a lawsuit related to the allocation of a gain recorded in 2015 related to a real estate transaction. The original net gain was $34.3 million and was initially recorded as a non-operating gain in “Other income (expense), net.” The proceeds have been held in escrow since the transaction occurred in 2015; the escrow amount, including accumulated interest, was $38.0 million as of September 30, 2025. At September 30, 2025, the estimate</w:t>
      </w:r>
      <w:r>
        <w:rPr>
          <w:rFonts w:ascii="Times New Roman;serif" w:hAnsi="Times New Roman;serif"/>
          <w:b w:val="false"/>
          <w:color w:val="000000"/>
          <w:sz w:val="20"/>
          <w:shd w:fill="FFFFFF" w:val="clear"/>
        </w:rPr>
        <w:t>d maximum amount paya</w:t>
      </w:r>
      <w:r>
        <w:rPr>
          <w:rFonts w:ascii="Times New Roman;serif" w:hAnsi="Times New Roman;serif"/>
          <w:b w:val="false"/>
          <w:color w:val="000000"/>
          <w:sz w:val="20"/>
        </w:rPr>
        <w:t>ble to the plaintiff was $32.6 million, which included one-half of the gain and statutory prejudgment interest and was recorded as a non-operating loss in “Other (expense) income, net” and a reduction in the escrow receivable. On November 25, 2025, the court ruled that under the circumstances the plaintiffs are not entitled to statutory prejudgment interest, which ruling resulted in a reduction of the amount due to the plaintiffs to $19.2 million. During the fourth quarter of 2025, the non-operating loss of $32.6 million recorded in the third quarter of 2025 was adjusted downward by $13.4 million with a corresponding increase in the escrow receivable. At December 31, 2025, the total amount of the escrow was $38.3 million and the portion allocable to the plaintiffs was $19.3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16—RELATED PARTY TRANSACTIONS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People Incorporated and Angi</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Allocation of CEO Compensation and Certain Expenses </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former CEO served as the CEO of Angi from October 10, 2022 through April 8, 2024, at which point Angi appointed a new CEO. As a result, the Company allocated $2.4 million and $9.4 million for the years ended December 31, 2024 and 2023, respectively, in costs to Angi (including salary, benefits, stock-based compensation and costs related to the Company’s CEO’s office), and are reflected in discontinued operations. These costs were allocated from People Incorporated based upon time spent on Angi by our former CEO. Management considered the allocation method to be reasonable. The allocated costs also included costs directly attributable to Angi that were initially paid for by the Company and billed by the Company to Angi. </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Combination, Distribution and Related Agreements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and Angi, in connection with the transaction resulting in the formation of Angi in 2017, which is referred to as the “Combination,” entered into a contribution agreement, an investor rights agreement, a services agreement, a tax sharing agreement and an employee matters agreement, which collectively governed the relationship between the Company and Angi prior to the Distribution.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the Distribution on March 31, 2025, People Incorporated no longer owns any shares of Angi’s capital stock and Angi became an independent, public company. In addition, Angi is no longer considered a related party. The agreements between the Company and Angi that were put in place in connection with the Combination survive the Distribution in accordance with their terms, with certain exceptions.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pursuant to the employee matters agreement and prior to the Distribution and the one-for-ten reverse stock split at Angi that occurred on March 24, 2025, 1.2 million shares of Angi Class A common stock were issued to a subsidiary of the Company as reimbursement for People Incorporated common stock issued in connection with the exercise and settlement of certain Angi stock appreciation rights.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services agreement governed services that the Company provided to Angi through the Distribution. In connection with the Distribution, Angi and the Company updated the schedule of services provided under the services agreement to reflect the provision of certain services requested by Angi through the earlier of March 31, 2026, or such time as Angi may notify the Company that it no longer requires such services, on terms consistent with the services agreement, including Angi’s continued participation in the Company’s U.S. health and welfare plans, 401(k) plan and flexible benefits plan through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employee matters agreement, in the event of a distribution of Angi capital stock to People Incorporated stockholders in a transaction intended to qualify as tax-free for U.S. federal income tax purposes, the Compensation and Human Capital Committee of the Company’s board of directors has the exclusive authority to determine the treatment of outstanding People Incorporated equity awards. Following the Distribution, solely for purposes of determining the expiration of options with respect to shares of common stock of one company held by employees of the other company, the Company and Angi employees will be deemed employed by both companies for so long as they continue to be employed by whichever of the companies employs them immediately following the Distribution. While the employee matters agreement will remain in place following the completion of the Distribution, Angi’s continued participation in the Company’s U.S. health and welfare plans, 401(k) plan and flexible benefits plan will no longer be covered by the employee matters agreement upon effectiveness of the Distribution and will instead be covered under the services agreement as described above.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Distribution, People Incorporated and Angi terminated a sub-lease arrangement wherein the Company subleased certain office space to Angi and upon completion of the Distribution, the investor rights agreement terminated in accordance with its terms.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People Incorporated and Expedia Group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and Expedia Group each have a 50% ownership interest in two aircraft that may be used by both companies. Members of the aircraft flight crews are employed by an entity in which the Company and Expedia Group each have a 50% ownership interest. Historically, the Company and Expedia Group allocated fixed costs, including flight crew compensation and benefits, 50% to each company and shared variable costs pro-rata according to each company’s respective usage of the aircraft, for which they were separately billed by the entity described above. In December of 2025, the Company and Expedia Group amended their cost sharing arrangement to reflect the allocation of all costs on a pro-rata basis according to each company’s respective usage of the aircraft, with the exception of costs related to flights taken by Mr. Diller, of which each of the Company and Expedia Group continue to be responsible for 50%. The Company and Expedia Group are related parties because Mr. Diller serves as Chairman and Senior Executive of both People Incorporated and Expedia Group. For the years ended December 31, 2025, 2024 and 2023, the payments made to this entity by the Company were not material.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Expedia Group has had the use of an aircraft owned 100% by a subsidiary of the Company on a cost basis until the sale of such aircraft during the fourth quarter of 2025. For the years ended December 31, 2025, 2024 and 2023, the payments made by Expedia Group to the Company pursuant to this arrangement were not material.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and Expedia Group entered into an arrangement to share security costs for Mr. Diller, with each company responsible for 50% of such costs. For the year ended December 31, 2025, amounts pursuant to this arrangement were not material.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and Expedia Group entered into a five-year lease agreement, which commenced October 2024, for Expedia Group to occupy office space in the Company’s New York City headquarters building. The total payments pursuant to this lease agreement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17—DISCONTINUED OPERATIONS</w:t>
      </w:r>
    </w:p>
    <w:p>
      <w:pPr>
        <w:pStyle w:val="TextBody"/>
        <w:bidi w:val="0"/>
        <w:spacing w:before="0" w:after="0"/>
        <w:jc w:val="left"/>
        <w:rPr/>
      </w:pPr>
      <w:r>
        <w:rPr/>
      </w:r>
    </w:p>
    <w:p>
      <w:pPr>
        <w:pStyle w:val="TextBody"/>
        <w:bidi w:val="0"/>
        <w:spacing w:lineRule="auto" w:line="276" w:before="0" w:after="240"/>
        <w:ind w:left="0" w:right="0" w:firstLine="450"/>
        <w:jc w:val="left"/>
        <w:rPr/>
      </w:pPr>
      <w:r>
        <w:rPr>
          <w:rFonts w:ascii="Times New Roman;serif" w:hAnsi="Times New Roman;serif"/>
          <w:b w:val="false"/>
          <w:color w:val="000000"/>
          <w:sz w:val="20"/>
        </w:rPr>
        <w:t>The Company ceased operations of its Search segment after the expiration of the Services Agreement during the second quarter of 2026 and completed the sale of Care.com on March 16, 2026 and the Distribution of Angi on March 31, 2025. As a result of these transactions, Search, Care.com and Angi are presented as discontinued operations within the Company’s consolidated financial statements for all periods presented. See “</w:t>
      </w:r>
      <w:hyperlink w:anchor="i6619b59be68b4f7a9428d08547de7a6a_52">
        <w:r>
          <w:rPr>
            <w:rStyle w:val="InternetLink"/>
            <w:rFonts w:ascii="Times New Roman;serif" w:hAnsi="Times New Roman;serif"/>
            <w:b w:val="false"/>
            <w:color w:val="0000FF"/>
            <w:sz w:val="20"/>
            <w:u w:val="single"/>
          </w:rPr>
          <w:t>Note 1—Organization</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assets and liabilities of discontinued operations in the balance sheet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491" w:type="dxa"/>
        <w:jc w:val="left"/>
        <w:tblInd w:w="0" w:type="dxa"/>
        <w:tblLayout w:type="fixed"/>
        <w:tblCellMar>
          <w:top w:w="28" w:type="dxa"/>
          <w:left w:w="28" w:type="dxa"/>
          <w:bottom w:w="28" w:type="dxa"/>
          <w:right w:w="28" w:type="dxa"/>
        </w:tblCellMar>
      </w:tblPr>
      <w:tblGrid>
        <w:gridCol w:w="1976"/>
        <w:gridCol w:w="1733"/>
        <w:gridCol w:w="1750"/>
        <w:gridCol w:w="211"/>
        <w:gridCol w:w="826"/>
        <w:gridCol w:w="109"/>
        <w:gridCol w:w="109"/>
        <w:gridCol w:w="109"/>
        <w:gridCol w:w="109"/>
        <w:gridCol w:w="211"/>
        <w:gridCol w:w="721"/>
        <w:gridCol w:w="109"/>
        <w:gridCol w:w="109"/>
        <w:gridCol w:w="109"/>
        <w:gridCol w:w="109"/>
        <w:gridCol w:w="211"/>
        <w:gridCol w:w="826"/>
        <w:gridCol w:w="154"/>
      </w:tblGrid>
      <w:tr>
        <w:trPr/>
        <w:tc>
          <w:tcPr>
            <w:tcW w:w="197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leasehold improvements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 of discontinued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649"/>
        <w:gridCol w:w="1378"/>
        <w:gridCol w:w="1371"/>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56"/>
      </w:tblGrid>
      <w:tr>
        <w:trPr/>
        <w:tc>
          <w:tcPr>
            <w:tcW w:w="164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leasehold improvements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 of discontinued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the (loss) earnings from discontinued operations, net of tax in the statement of operations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276"/>
        <w:gridCol w:w="946"/>
        <w:gridCol w:w="956"/>
        <w:gridCol w:w="211"/>
        <w:gridCol w:w="867"/>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867"/>
        <w:gridCol w:w="156"/>
      </w:tblGrid>
      <w:tr>
        <w:trPr/>
        <w:tc>
          <w:tcPr>
            <w:tcW w:w="1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w:t>
            </w:r>
            <w:r>
              <w:rPr>
                <w:rFonts w:ascii="Times New Roman;serif" w:hAnsi="Times New Roman;serif"/>
                <w:b w:val="false"/>
                <w:color w:val="000000"/>
                <w:sz w:val="13"/>
              </w:rPr>
              <w:t>(a)</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 from discontinued operations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before tax</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Angi includes the reversal of </w:t>
      </w:r>
      <w:r>
        <w:rPr>
          <w:rFonts w:ascii="Times New Roman;serif" w:hAnsi="Times New Roman;serif"/>
          <w:b w:val="false"/>
          <w:color w:val="000000"/>
          <w:sz w:val="16"/>
          <w:shd w:fill="FFFFFF" w:val="clear"/>
        </w:rPr>
        <w:t>$10.2 million</w:t>
      </w:r>
      <w:r>
        <w:rPr>
          <w:color w:val="000000"/>
        </w:rPr>
        <w:t xml:space="preserve"> </w:t>
      </w:r>
      <w:r>
        <w:rPr>
          <w:rFonts w:ascii="Times New Roman;serif" w:hAnsi="Times New Roman;serif"/>
          <w:b w:val="false"/>
          <w:color w:val="000000"/>
          <w:sz w:val="16"/>
        </w:rPr>
        <w:t>in stock-based compensation expense that was previously recognized by Angi with respect to the restricted shares for January 1 through the Distribution on March 31, 2025. See “</w:t>
      </w:r>
      <w:hyperlink w:anchor="i6619b59be68b4f7a9428d08547de7a6a_88">
        <w:r>
          <w:rPr>
            <w:rStyle w:val="InternetLink"/>
            <w:rFonts w:ascii="Times New Roman;serif" w:hAnsi="Times New Roman;serif"/>
            <w:b w:val="false"/>
            <w:color w:val="0000FF"/>
            <w:sz w:val="16"/>
            <w:u w:val="single"/>
          </w:rPr>
          <w:t>Note 10—Stock-Based Compensation</w:t>
        </w:r>
      </w:hyperlink>
      <w:r>
        <w:rPr>
          <w:color w:val="000000"/>
        </w:rPr>
        <w:t xml:space="preserve">” </w:t>
      </w:r>
      <w:r>
        <w:rPr>
          <w:rFonts w:ascii="Times New Roman;serif" w:hAnsi="Times New Roman;serif"/>
          <w:b w:val="false"/>
          <w:color w:val="000000"/>
          <w:sz w:val="16"/>
        </w:rPr>
        <w:t>for additional information.</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210"/>
        <w:gridCol w:w="871"/>
        <w:gridCol w:w="88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65"/>
        <w:gridCol w:w="604"/>
        <w:gridCol w:w="137"/>
        <w:gridCol w:w="109"/>
        <w:gridCol w:w="109"/>
        <w:gridCol w:w="109"/>
        <w:gridCol w:w="211"/>
        <w:gridCol w:w="976"/>
        <w:gridCol w:w="155"/>
      </w:tblGrid>
      <w:tr>
        <w:trPr/>
        <w:tc>
          <w:tcPr>
            <w:tcW w:w="121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1,871,319 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discontinued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3"/>
        <w:gridCol w:w="1255"/>
        <w:gridCol w:w="12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211"/>
        <w:gridCol w:w="976"/>
        <w:gridCol w:w="155"/>
      </w:tblGrid>
      <w:tr>
        <w:trPr/>
        <w:tc>
          <w:tcPr>
            <w:tcW w:w="15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1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1451" w:type="dxa"/>
            <w:gridSpan w:val="4"/>
            <w:tcBorders/>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51" w:type="dxa"/>
            <w:gridSpan w:val="4"/>
            <w:tcBorders/>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discontinued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VALUATION AND QUALIFYING ACCOUNTS</w:t>
      </w:r>
    </w:p>
    <w:tbl>
      <w:tblPr>
        <w:tblW w:w="9575" w:type="dxa"/>
        <w:jc w:val="left"/>
        <w:tblInd w:w="0" w:type="dxa"/>
        <w:tblLayout w:type="fixed"/>
        <w:tblCellMar>
          <w:top w:w="28" w:type="dxa"/>
          <w:left w:w="28" w:type="dxa"/>
          <w:bottom w:w="28" w:type="dxa"/>
          <w:right w:w="28" w:type="dxa"/>
        </w:tblCellMar>
      </w:tblPr>
      <w:tblGrid>
        <w:gridCol w:w="1014"/>
        <w:gridCol w:w="891"/>
        <w:gridCol w:w="900"/>
        <w:gridCol w:w="211"/>
        <w:gridCol w:w="721"/>
        <w:gridCol w:w="109"/>
        <w:gridCol w:w="109"/>
        <w:gridCol w:w="109"/>
        <w:gridCol w:w="109"/>
        <w:gridCol w:w="211"/>
        <w:gridCol w:w="691"/>
        <w:gridCol w:w="109"/>
        <w:gridCol w:w="109"/>
        <w:gridCol w:w="109"/>
        <w:gridCol w:w="109"/>
        <w:gridCol w:w="280"/>
        <w:gridCol w:w="820"/>
        <w:gridCol w:w="145"/>
        <w:gridCol w:w="109"/>
        <w:gridCol w:w="109"/>
        <w:gridCol w:w="109"/>
        <w:gridCol w:w="211"/>
        <w:gridCol w:w="691"/>
        <w:gridCol w:w="109"/>
        <w:gridCol w:w="109"/>
        <w:gridCol w:w="109"/>
        <w:gridCol w:w="109"/>
        <w:gridCol w:w="224"/>
        <w:gridCol w:w="767"/>
        <w:gridCol w:w="163"/>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Charges 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Charges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 Period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Amounts primarily relate to write-offs of fully reserved accounts receivable, net of recoveries.</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Amounts primarily relate to currency translation adjustments on foreign net operating losses.</w:t>
      </w:r>
    </w:p>
    <w:p>
      <w:pPr>
        <w:pStyle w:val="TextBody"/>
        <w:bidi w:val="0"/>
        <w:spacing w:before="120" w:after="120"/>
        <w:ind w:left="0" w:right="0" w:hanging="360"/>
        <w:jc w:val="left"/>
        <w:rPr/>
      </w:pPr>
      <w:r>
        <w:rPr/>
      </w:r>
    </w:p>
    <w:p>
      <w:pPr>
        <w:pStyle w:val="TextBody"/>
        <w:bidi w:val="0"/>
        <w:spacing w:before="120" w:after="120"/>
        <w:ind w:left="0" w:right="0" w:hanging="360"/>
        <w:jc w:val="left"/>
        <w:rPr/>
      </w:pPr>
      <w:r>
        <w:rPr/>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50308</Words>
  <Characters>282840</Characters>
  <CharactersWithSpaces>329609</CharactersWithSpaces>
  <Paragraphs>6596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