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998720.xml.htm"/>
      <w:bookmarkStart w:id="1" w:name="kswkform3_17869987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Vogel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PEOPLE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WEST 18TH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80,377</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149,434</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163,908</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24,592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two installments on each of March 1, 2027 and 2028,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that vest in three equal installments on each of February 4, 2027, 2028 and 2029,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RSUs that vest in one lump sum installment on March 1, 2027,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RSUs that vest in two equal installments on each of March 1, 2027 and 2028, subject to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Bishop as Attorney-in-Fact for Neil Vogel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ppli-nvxsigned2.htm"/>
      <w:bookmarkStart w:id="3" w:name="ksa2026poapplinvxsigned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Kendall Handler, Jeff Hartwig, Jenn Bishop, Anastasia Walkenberg, and Sierra Emeis signing singly, as the undersigned’s true and lawful attorney-in-fact to: (1) execute for and on behalf of the undersigned, in the undersigned’s capacity as an executive officer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23rd day of July, 2026. Neil Vogel Neil Vogel (Jul 23, 2026 11:49:59 EDT)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210" TargetMode="External"/><Relationship Id="rId3" Type="http://schemas.openxmlformats.org/officeDocument/2006/relationships/hyperlink" Target="http://www.sec.gov/cgi-bin/browse-edgar?action=getcompany&amp;CIK=00018002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1221</Words>
  <Characters>6504</Characters>
  <CharactersWithSpaces>7647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a2026poappli-nvxsigned2</dc:title>
</cp:coreProperties>
</file>