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998731.xml.htm"/>
      <w:bookmarkStart w:id="1" w:name="kswkform3_178699873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Quinn Timothy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PEOPLE INCORPORATED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WEST 18TH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People Inc</w:t>
              </w:r>
            </w:hyperlink>
            <w:r>
              <w:rPr/>
              <w:t xml:space="preserve"> [ </w:t>
            </w:r>
            <w:r>
              <w:rPr>
                <w:rFonts w:ascii="Times;serif" w:hAnsi="Times;serif"/>
                <w:color w:val="0000FF"/>
                <w:sz w:val="24"/>
                <w:shd w:fill="FFFFFF" w:val="clear"/>
              </w:rPr>
              <w:t>PPLI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51,404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63,509</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15,728</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in two installments on each of March 1, 2027 and 2028,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RSUs that vest in three equal installments on each of February 4, 2027, 2028 and 2029,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RSUs that vest in two equal installments on each of March 1, 2027 and 2028, subject to continued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Bishop as Attorney-in-Fact for Timothy Quinn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026poappli-tqxsigned2.htm"/>
      <w:bookmarkStart w:id="3" w:name="ksa2026poapplitqxsigned2"/>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Kendall Handler, Jeff Hartwig, Jenn Bishop, Anastasia Walkenberg, and Sierra Emeis signing singly, as the undersigned’s true and lawful attorney-in-fact to: (1) execute for and on behalf of the undersigned, in the undersigned’s capacity as an executive officer of People Incorporated (the “Company”), Forms 3, 4 and 5 in accordance with Section 16(a) of the Securities Exchange Act of 1934 and the rules thereunder (the “Exchange Act”) and Form ID to obtain and/or renew EDGAR codes for use in filing Forms 3, 4 and 5; (2) do and perform any and all acts for and on behalf of the undersigned which may be necessary or desirable to complete and execute any such Form 3, 4 or 5 or Form ID, complete and execute any amendment or amendments thereto, and timely file such forms with the United States Securities and Exchange Commission and any stock exchange or similar authority;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(4) 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including, but not limited to, the shorter deadlines mandated by the Sarbanes-Oxley Act of 2002, possible time zone differences between the Company and the undersigned and the Company’s need to rely on other parties for information, including the undersigned and brokers of the undersigned. IN WITNESS WHEREOF, the undersigned had caused this Power of Attorney to be executed as of this 23rd day of July, 2026. Tim Quinn Timothy Quinn (Jul 23, 2026 12:53:32 EDT)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8378" TargetMode="External"/><Relationship Id="rId3" Type="http://schemas.openxmlformats.org/officeDocument/2006/relationships/hyperlink" Target="http://www.sec.gov/cgi-bin/browse-edgar?action=getcompany&amp;CIK=00018002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1184</Words>
  <Characters>6333</Characters>
  <CharactersWithSpaces>7450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a2026poappli-tqxsigned2</dc:title>
</cp:coreProperties>
</file>