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People Inc (Formerly IAC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Southeastern Asset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TENNESSEE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367,634.00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2,764,201.00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367,634.00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2,764,201.00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3,131,835.00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 Mason Hawkins</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People Inc (Formerly IAC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555 West 18th Street, New York, NY, 10011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Southeastern Asset Management, Inc., ("Southeastern") (2) Mr. O. Mason Hawkins, ("Mr. Hawkins")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For all Reporting Persons: 5100 Poplar Avenue, Suite 2450, Memphis, TN 38137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(1) Southeastern - Tennessee (2) Mr. Hawkins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Southeastern - 3131835 (2) Mr. Hawkins - 0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Southeastern - 367634 (2) Mr. Hawkins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Southeastern - 2764201 (2) Mr. Hawkins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Southeastern - 367634 (2) Mr. Hawkins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Southeastern - 2764201 (2) Mr. Hawkins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Southeastern Asset Management, Inc.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Andrew R. McCarroll</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Andrew R. McCarroll, General Counsel</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O. Mason Hawkins</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O. Mason Hawkins</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O. Mason Hawkins, Individually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Agreement In accordance with Rule 13d-1 (k)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August 14, 2026. Southeastern Asset Management, Inc. By /s/ Andrew R. McCarroll Andrew R. McCarroll, General Counsel O. Mason Hawkins, Individually /s/ O. Mason Hawkins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1296</Words>
  <Characters>6594</Characters>
  <CharactersWithSpaces>7860</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