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 2026</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People Incorporated</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5084" w:type="dxa"/>
        <w:jc w:val="center"/>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001-39356</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84-3727412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9" w:type="dxa"/>
        <w:jc w:val="center"/>
        <w:tblInd w:w="0" w:type="dxa"/>
        <w:tblLayout w:type="fixed"/>
        <w:tblCellMar>
          <w:top w:w="28" w:type="dxa"/>
          <w:left w:w="28" w:type="dxa"/>
          <w:bottom w:w="28" w:type="dxa"/>
          <w:right w:w="28" w:type="dxa"/>
        </w:tblCellMar>
      </w:tblPr>
      <w:tblGrid>
        <w:gridCol w:w="695"/>
        <w:gridCol w:w="612"/>
        <w:gridCol w:w="613"/>
        <w:gridCol w:w="332"/>
        <w:gridCol w:w="332"/>
        <w:gridCol w:w="334"/>
        <w:gridCol w:w="126"/>
        <w:gridCol w:w="126"/>
        <w:gridCol w:w="127"/>
        <w:gridCol w:w="109"/>
        <w:gridCol w:w="109"/>
        <w:gridCol w:w="109"/>
        <w:gridCol w:w="303"/>
        <w:gridCol w:w="303"/>
        <w:gridCol w:w="429"/>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555 West 18th Street,</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314-7300</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120"/>
        <w:ind w:left="0" w:right="0" w:hanging="360"/>
        <w:jc w:val="left"/>
        <w:rPr/>
      </w:pPr>
      <w:r>
        <w:rPr/>
      </w:r>
    </w:p>
    <w:tbl>
      <w:tblPr>
        <w:tblW w:w="8627" w:type="dxa"/>
        <w:jc w:val="left"/>
        <w:tblInd w:w="0" w:type="dxa"/>
        <w:tblLayout w:type="fixed"/>
        <w:tblCellMar>
          <w:top w:w="28" w:type="dxa"/>
          <w:left w:w="28" w:type="dxa"/>
          <w:bottom w:w="28" w:type="dxa"/>
          <w:right w:w="28" w:type="dxa"/>
        </w:tblCellMar>
      </w:tblPr>
      <w:tblGrid>
        <w:gridCol w:w="931"/>
        <w:gridCol w:w="817"/>
        <w:gridCol w:w="817"/>
        <w:gridCol w:w="278"/>
        <w:gridCol w:w="278"/>
        <w:gridCol w:w="278"/>
        <w:gridCol w:w="485"/>
        <w:gridCol w:w="485"/>
        <w:gridCol w:w="485"/>
        <w:gridCol w:w="278"/>
        <w:gridCol w:w="278"/>
        <w:gridCol w:w="278"/>
        <w:gridCol w:w="861"/>
        <w:gridCol w:w="861"/>
        <w:gridCol w:w="1217"/>
      </w:tblGrid>
      <w:tr>
        <w:trPr/>
        <w:tc>
          <w:tcPr>
            <w:tcW w:w="9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862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5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PPLI</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120"/>
        <w:ind w:left="0" w:right="0" w:hanging="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0"/>
          <w:shd w:fill="FFFFFF" w:val="clear"/>
        </w:rPr>
        <w:t>Item 2.02. Results of Operations and Financial Condition.</w:t>
      </w:r>
      <w:r>
        <w:rPr>
          <w:color w:val="000000"/>
          <w:shd w:fill="FFFFFF" w:val="clear"/>
        </w:rPr>
        <w:t xml:space="preserve"> </w:t>
      </w:r>
    </w:p>
    <w:p>
      <w:pPr>
        <w:pStyle w:val="TextBody"/>
        <w:bidi w:val="0"/>
        <w:spacing w:lineRule="auto" w:line="268" w:before="0" w:after="240"/>
        <w:ind w:left="0" w:right="0" w:firstLine="720"/>
        <w:jc w:val="left"/>
        <w:rPr/>
      </w:pPr>
      <w:r>
        <w:rPr>
          <w:rFonts w:ascii="Times New Roman;serif" w:hAnsi="Times New Roman;serif"/>
          <w:b w:val="false"/>
          <w:color w:val="000000"/>
          <w:sz w:val="20"/>
        </w:rPr>
        <w:t xml:space="preserve">On August 3, 2026, People Incorporated (the “Company”) announced that it had released its results for the quarter ended June 30, 2026. The full text of the related press release, which is posted on the “Investor Relations” section of the Company’s website at </w:t>
      </w:r>
      <w:r>
        <w:rPr>
          <w:rFonts w:ascii="Times New Roman;serif" w:hAnsi="Times New Roman;serif"/>
          <w:b w:val="false"/>
          <w:i/>
          <w:color w:val="000000"/>
          <w:sz w:val="20"/>
        </w:rPr>
        <w:t>https://ir.people-incorporated.com/financials/quarterly-results</w:t>
      </w:r>
      <w:r>
        <w:rPr>
          <w:color w:val="000000"/>
        </w:rPr>
        <w:t xml:space="preserve"> </w:t>
      </w:r>
      <w:r>
        <w:rPr>
          <w:rFonts w:ascii="Times New Roman;serif" w:hAnsi="Times New Roman;serif"/>
          <w:b w:val="false"/>
          <w:color w:val="000000"/>
          <w:sz w:val="20"/>
        </w:rPr>
        <w:t xml:space="preserve">and appears in Exhibit 99.1 hereto, is incorporated herein by reference. </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connection with its earnings call, the Company is also posting an investor presentation to the “Investor Relations” section of its website at </w:t>
      </w:r>
      <w:r>
        <w:rPr>
          <w:rFonts w:ascii="Times New Roman;serif" w:hAnsi="Times New Roman;serif"/>
          <w:b w:val="false"/>
          <w:i/>
          <w:color w:val="000000"/>
          <w:sz w:val="20"/>
        </w:rPr>
        <w:t>https://ir.people-incorporated.com/financials/quarterly-results.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Appointment of Chief Executive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 2026 (the “CEO Effective Date”), the Company’s Board of Directors (the “Board”) appointed Neil Vogel as the Company’s Chief Executive Officer, effective August 5, 2026. Mr. Vogel, age 56, has served as Chief Executive Officer of the Company’s People Inc. business since April 2013. During that time, he served as Chief Executive Officer of Dotdash, its predecessor About.com, and, following Dotdash’s acquisition of Meredith in 2021, Dotdash Meredith. Prior to joining the Company, Mr. Vogel was the Founder and Chief Executive Officer of Recognition Media. Prior to founding Recognition Media, Mr. Vogel served as Chief Corporate Development Officer at Alloy Media + Marketing. Mr. Vogel received a B.S. in Finance from the Wharton School of the University of Pennsylvania.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Appointment of Chief Financial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 2026 (the “CFO Effective Date”), the Board appointed Timothy Quinn as the Company’s Chief Financial Officer, effective August 5, 2026. Mr. Quinn, age 54, has served as Chief Financial Officer and Head of Strategy of the Company’s People Inc. business since January 2015. During that time, he served as Chief Financial Officer of Dotdash and, following Dotdash’s acquisition of Meredith in 2021, Dotdash Meredith. Prior to joining People Inc., Mr. Quinn spent more than a decade at American Express, where he served as Senior Vice President of Finance and Operations at Vente Privee USA, an e-commerce joint venture between American Express and Vente-Privee Europe. Previously, he served as Vice President in the Corporate Development Group at American Express, where he sourced, executed and monitored equity investments and mergers and acquisitions transactions. Mr. Quinn began his career in investment banking at Ladenburg Thalmann and previously worked in private equity at Wade Capital. Mr. Quinn graduated from the University of Virginia with a B.S. in Commerce.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Compensatory Arrangements of Chief Executive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Mr. Vogel’s appointment, on August 3, 2026, the Company and Mr. Vogel entered into an employment agreement (the “CEO Employment Agreement”) effective August 5, 2026.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Term</w:t>
      </w:r>
      <w:r>
        <w:rPr>
          <w:rFonts w:ascii="Times New Roman;serif" w:hAnsi="Times New Roman;serif"/>
          <w:b w:val="false"/>
          <w:color w:val="000000"/>
          <w:sz w:val="20"/>
        </w:rPr>
        <w:t xml:space="preserve">. The CEO Employment Agreement has a term of one year from the CEO Effective Date and provides for automatic renewals for successive one-year terms absent written notice from the Company or Mr. Vogel at least ninety (90) days prior to the expiration of the then-current term.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Compensation</w:t>
      </w:r>
      <w:r>
        <w:rPr>
          <w:rFonts w:ascii="Times New Roman;serif" w:hAnsi="Times New Roman;serif"/>
          <w:b w:val="false"/>
          <w:color w:val="000000"/>
          <w:sz w:val="20"/>
        </w:rPr>
        <w:t xml:space="preserve">. The CEO Employment Agreement provides that during the term, Mr. Vogel will be eligible to receive an annual base salary (currently $1,000,000), an annual cash bonus with a target amount equal to 100% of his annual base salary, and such other employee benefits as may be reasonably determined by the Compensation and Human Capital Committee of the Board.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Severance</w:t>
      </w:r>
      <w:r>
        <w:rPr>
          <w:rFonts w:ascii="Times New Roman;serif" w:hAnsi="Times New Roman;serif"/>
          <w:b w:val="false"/>
          <w:color w:val="000000"/>
          <w:sz w:val="20"/>
        </w:rPr>
        <w:t xml:space="preserve">. Upon a termination of Mr. Vogel’s employment by the Company without “cause” (and other than by reason of death or disability), Mr. Vogel’s resignation for “good reason” or the timely delivery of a non-renewal notice by the Company (a “Qualifying Termination”), subject to Mr. Vogel’s execution and non-revocation of a release and his compliance with the restrictive covenants set forth below: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Company will continue to pay Mr. Vogel his annual base salary for one (1) year following such Qualifying Termination (the “Severance Period”), subject to offset for amounts received from other full-time employment during the Severance Period;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(ii)all remaining unvested Company equity awards (including all cliff vesting awards, if any, which shall be pro-rated as though such awards had an annual vesting schedule) held by Mr. Vogel that would have otherwise vested during the Severance Period shall vest as of the date of such Qualifying Termination.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Restrictive Covenants</w:t>
      </w:r>
      <w:r>
        <w:rPr>
          <w:rFonts w:ascii="Times New Roman;serif" w:hAnsi="Times New Roman;serif"/>
          <w:b w:val="false"/>
          <w:color w:val="000000"/>
          <w:sz w:val="20"/>
        </w:rPr>
        <w:t>. Pursuant to the CEO Employment Agreement, Mr. Vogel is bound by a covenant not to compete with the Company and its businesses during the term of his employment and the Severance Period and by covenants not to solicit the Company’s employees or business partners during the term of his employment and for eighteen (18) months after a Qualifying Termination. In addition, Mr. Vogel has agreed not to use or disclose any confidential information of the Company or its affiliates and to be bound by customary covenants relating to proprietary rights and the related assignment of such rights.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CEO Employment Agreement is qualified in its entirety by reference to the CEO Employment Agreement, a copy of which is filed as Exhibit 10.1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Compensatory Arrangements of Chief Financial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Mr. Quinn’s appointment, on August 3, 2026, the Company and Mr. Quinn entered into an employment agreement (the “CFO Employment Agreement”) effective August 5, 2026.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Term</w:t>
      </w:r>
      <w:r>
        <w:rPr>
          <w:rFonts w:ascii="Times New Roman;serif" w:hAnsi="Times New Roman;serif"/>
          <w:b w:val="false"/>
          <w:color w:val="000000"/>
          <w:sz w:val="20"/>
        </w:rPr>
        <w:t xml:space="preserve">. The CFO Employment Agreement has a term of one year from the CFO Effective Date and provides for automatic renewals for successive one-year terms absent written notice from the Company or Mr. Quinn at least ninety (90) days prior to the expiration of the then-current term.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Compensation</w:t>
      </w:r>
      <w:r>
        <w:rPr>
          <w:rFonts w:ascii="Times New Roman;serif" w:hAnsi="Times New Roman;serif"/>
          <w:b w:val="false"/>
          <w:color w:val="000000"/>
          <w:sz w:val="20"/>
        </w:rPr>
        <w:t xml:space="preserve">. The CFO Employment Agreement provides that during the term, Mr. Quinn will be eligible to receive an annual base salary (currently $600,000), an annual cash bonus with a target amount equal to 50% of his annual base salary, and such other employee benefits as may be reasonably determined by the Compensation and Human Capital Committee of the Board.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Severance</w:t>
      </w:r>
      <w:r>
        <w:rPr>
          <w:rFonts w:ascii="Times New Roman;serif" w:hAnsi="Times New Roman;serif"/>
          <w:b w:val="false"/>
          <w:color w:val="000000"/>
          <w:sz w:val="20"/>
        </w:rPr>
        <w:t xml:space="preserve">. Upon a termination of Mr. Quinn’s employment by the Company without “cause” (and other than by reason of death or disability), Mr. Quinn’s resignation for “good reason” or the timely delivery of a non-renewal notice by the Company (a “Qualifying Termination”), subject to Mr. Quinn’s execution and non-revocation of a release and his compliance with the restrictive covenants set forth below: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Company will continue to pay Mr. Quinn his annual base salary for one (1) year following such Qualifying Termination (the “Severance Period”), subject to offset for amounts received from other full-time employment during the Severance Period;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(ii)all remaining unvested Company equity awards (including all cliff vesting awards, if any, which shall be pro-rated as though such awards had an annual vesting schedule) held by Mr. Quinn that would have otherwise vested during the Severance Period shall vest as of the date of such Qualifying Termination.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Restrictive Covenants</w:t>
      </w:r>
      <w:r>
        <w:rPr>
          <w:rFonts w:ascii="Times New Roman;serif" w:hAnsi="Times New Roman;serif"/>
          <w:b w:val="false"/>
          <w:color w:val="000000"/>
          <w:sz w:val="20"/>
        </w:rPr>
        <w:t>. Pursuant to the CFO Employment Agreement, Mr. Quinn is bound by a covenant not to compete with the Company and its businesses during the term of his employment and the Severance Period and by covenants not to solicit the Company’s employees or business partners during the term of his employment and for eighteen (18) months after a Qualifying Termination. In addition, Mr. Quinn has agreed not to use or disclose any confidential information of the Company or its affiliates and to be bound by customary covenants relating to proprietary rights and the related assignment of such rights.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CFO Employment Agreement is qualified in its entirety by reference to the CFO Employment Agreement, a copy of which is filed as Exhibit 10.2 to this Current Report on Form 8-K and is incorporated herein by reference.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Exhibits.</w:t>
      </w:r>
    </w:p>
    <w:tbl>
      <w:tblPr>
        <w:tblW w:w="9480" w:type="dxa"/>
        <w:jc w:val="left"/>
        <w:tblInd w:w="0" w:type="dxa"/>
        <w:tblLayout w:type="fixed"/>
        <w:tblCellMar>
          <w:top w:w="28" w:type="dxa"/>
          <w:left w:w="28" w:type="dxa"/>
          <w:bottom w:w="28" w:type="dxa"/>
          <w:right w:w="28" w:type="dxa"/>
        </w:tblCellMar>
      </w:tblPr>
      <w:tblGrid>
        <w:gridCol w:w="255"/>
        <w:gridCol w:w="225"/>
        <w:gridCol w:w="226"/>
        <w:gridCol w:w="2557"/>
        <w:gridCol w:w="2557"/>
        <w:gridCol w:w="366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8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_101vogelemploymentagree.htm">
              <w:r>
                <w:rPr>
                  <w:rStyle w:val="InternetLink"/>
                  <w:rFonts w:ascii="Times New Roman;serif" w:hAnsi="Times New Roman;serif"/>
                  <w:b w:val="false"/>
                  <w:color w:val="0000FF"/>
                  <w:sz w:val="20"/>
                  <w:u w:val="single"/>
                </w:rPr>
                <w:t>10.1</w:t>
              </w:r>
            </w:hyperlink>
          </w:p>
        </w:tc>
        <w:tc>
          <w:tcPr>
            <w:tcW w:w="87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between People Incorporated and Neil Vogel, effective as of August 5,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_102quinnemploymentagree.htm">
              <w:r>
                <w:rPr>
                  <w:rStyle w:val="InternetLink"/>
                  <w:rFonts w:ascii="Times New Roman;serif" w:hAnsi="Times New Roman;serif"/>
                  <w:b w:val="false"/>
                  <w:color w:val="0000FF"/>
                  <w:sz w:val="20"/>
                  <w:u w:val="single"/>
                </w:rPr>
                <w:t>10.2</w:t>
              </w:r>
            </w:hyperlink>
          </w:p>
        </w:tc>
        <w:tc>
          <w:tcPr>
            <w:tcW w:w="87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between People Incorporated and Timothy Quinn, effective as of August 5,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_991q22026ppli-pressrele.htm">
              <w:r>
                <w:rPr>
                  <w:rStyle w:val="InternetLink"/>
                  <w:rFonts w:ascii="Times New Roman;serif" w:hAnsi="Times New Roman;serif"/>
                  <w:b w:val="false"/>
                  <w:color w:val="0000FF"/>
                  <w:sz w:val="20"/>
                  <w:u w:val="single"/>
                </w:rPr>
                <w:t>99.1</w:t>
              </w:r>
            </w:hyperlink>
          </w:p>
        </w:tc>
        <w:tc>
          <w:tcPr>
            <w:tcW w:w="87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People Incorporated, dated August 3,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8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95" w:type="dxa"/>
        <w:jc w:val="center"/>
        <w:tblInd w:w="0" w:type="dxa"/>
        <w:tblLayout w:type="fixed"/>
        <w:tblCellMar>
          <w:top w:w="28" w:type="dxa"/>
          <w:left w:w="28" w:type="dxa"/>
          <w:bottom w:w="28" w:type="dxa"/>
          <w:right w:w="28" w:type="dxa"/>
        </w:tblCellMar>
      </w:tblPr>
      <w:tblGrid>
        <w:gridCol w:w="124"/>
        <w:gridCol w:w="109"/>
        <w:gridCol w:w="109"/>
        <w:gridCol w:w="209"/>
        <w:gridCol w:w="209"/>
        <w:gridCol w:w="211"/>
        <w:gridCol w:w="188"/>
        <w:gridCol w:w="188"/>
        <w:gridCol w:w="188"/>
        <w:gridCol w:w="1393"/>
        <w:gridCol w:w="1393"/>
        <w:gridCol w:w="20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KENDALL HANDLER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Kendall Handler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Legal Officer &amp; Secretary</w:t>
            </w:r>
          </w:p>
        </w:tc>
      </w:tr>
    </w:tbl>
    <w:p>
      <w:pPr>
        <w:pStyle w:val="TextBody"/>
        <w:bidi w:val="0"/>
        <w:spacing w:lineRule="auto" w:line="288" w:before="0" w:after="240"/>
        <w:jc w:val="left"/>
        <w:rPr/>
      </w:pPr>
      <w:r>
        <w:rPr>
          <w:rFonts w:ascii="Times New Roman;serif" w:hAnsi="Times New Roman;serif"/>
          <w:b w:val="false"/>
          <w:color w:val="000000"/>
          <w:sz w:val="20"/>
        </w:rPr>
        <w:t>Date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August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120" w:after="120"/>
        <w:jc w:val="right"/>
        <w:rPr/>
      </w:pPr>
      <w:r>
        <w:rPr>
          <w:rFonts w:ascii="Times New Roman;serif" w:hAnsi="Times New Roman;serif"/>
          <w:b/>
          <w:color w:val="000000"/>
          <w:sz w:val="22"/>
        </w:rPr>
        <w:t>Exhibit 10.1</w:t>
      </w:r>
      <w:r>
        <w:rPr>
          <w:color w:val="000000"/>
        </w:rPr>
        <w:t xml:space="preserve"> </w:t>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EMPLOYMENT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EMPLOYMENT AGREEMENT (“Agreement”) is entered into by and between Neil Vogel (“Executive”) and People Incorporated (f/k/a IAC Inc.), a Delaware corporation (the “Company”), and is effective as of August 5, 2026 (the “Effective Date”).</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desires to establish its right to the services of Executive, in the capacity described below, on the terms and conditions hereinafter set forth, and Executive is willing to accept such employment on such terms and conditions.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agreements hereinafter set forth, Executive and the Company have agreed and do hereby agree as follows:</w:t>
      </w:r>
    </w:p>
    <w:p>
      <w:pPr>
        <w:pStyle w:val="TextBody"/>
        <w:bidi w:val="0"/>
        <w:spacing w:lineRule="auto" w:line="288" w:before="240" w:after="283"/>
        <w:jc w:val="left"/>
        <w:rPr/>
      </w:pPr>
      <w:r>
        <w:rPr>
          <w:rFonts w:ascii="Times New Roman;serif" w:hAnsi="Times New Roman;serif"/>
          <w:b w:val="false"/>
          <w:color w:val="000000"/>
          <w:sz w:val="24"/>
        </w:rPr>
        <w:t>1A.    </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POSITION; POWERS/RESPONSIBILITIES; PERFORMANCE</w:t>
      </w:r>
      <w:r>
        <w:rPr>
          <w:rFonts w:ascii="Times New Roman;serif" w:hAnsi="Times New Roman;serif"/>
          <w:b w:val="false"/>
          <w:color w:val="000000"/>
          <w:sz w:val="24"/>
        </w:rPr>
        <w:t>. During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Term (as defined below), the Company shall employ Executive, and Executive shall be employed, as the Company’s Chief Executive Officer, with the responsibilities, duties and authority Executive has as of the date of this Agreement, as such responsibilities, duties and authority may change in accordance with this Agreement. During Executive’s employment with the Company, Executive shall use good faith efforts to do and perform all services and acts necessary or advisable to fulfill the duties and responsibilities of Executive’s position and to render such services in accordance with the generally applicable policies of the Company as in effect from time to time and otherwise on the terms set forth herein.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REPORTING</w:t>
      </w:r>
      <w:r>
        <w:rPr>
          <w:rFonts w:ascii="Times New Roman;serif" w:hAnsi="Times New Roman;serif"/>
          <w:b w:val="false"/>
          <w:color w:val="000000"/>
          <w:sz w:val="24"/>
        </w:rPr>
        <w:t>. During Executive’s employment with the Company, Executive shall report directly to the Board of Directors of the Company (the “Board”).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ADDITIONAL POWERS/RESPONSIBILITIES</w:t>
      </w:r>
      <w:r>
        <w:rPr>
          <w:rFonts w:ascii="Times New Roman;serif" w:hAnsi="Times New Roman;serif"/>
          <w:b w:val="false"/>
          <w:color w:val="000000"/>
          <w:sz w:val="24"/>
        </w:rPr>
        <w:t>. Executive shall have such additional responsibilities, duties and authority with respect to the Company as may reasonably be assigned to Executive from time to time by the Board, to the extent consistent with Executive’s position.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FULL-TIME SERVICE AND OTHER ACTIVITIES</w:t>
      </w:r>
      <w:r>
        <w:rPr>
          <w:rFonts w:ascii="Times New Roman;serif" w:hAnsi="Times New Roman;serif"/>
          <w:b w:val="false"/>
          <w:color w:val="000000"/>
          <w:sz w:val="24"/>
        </w:rPr>
        <w:t>. Executive agrees to devote all of Executive’s working time, attention and efforts to the Company, except for vacations, illness or incapacity. Executive may (i) participate in industry, religious, civic and charitable activities and, with the consent of the Board, on corporate boards of directors unrelated to the Company and (ii) manage his and his immediate family’s personal investments, so long as such activities do not materially interfere with Executive’s performance of his duties hereunder or compete with or present an actual or apparent conflict of interest for the Company, which shall be determined by the General Counsel of the Company in his/her good faith judgment.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LOCATION.</w:t>
      </w:r>
      <w:r>
        <w:rPr>
          <w:color w:val="000000"/>
        </w:rPr>
        <w:t xml:space="preserve"> </w:t>
      </w:r>
      <w:r>
        <w:rPr>
          <w:rFonts w:ascii="Times New Roman;serif" w:hAnsi="Times New Roman;serif"/>
          <w:b w:val="false"/>
          <w:color w:val="000000"/>
          <w:sz w:val="24"/>
        </w:rPr>
        <w:t>Executive’s principal place of employment shall be at the Company’s offices located in New York, New York.</w:t>
      </w:r>
    </w:p>
    <w:p>
      <w:pPr>
        <w:pStyle w:val="TextBody"/>
        <w:bidi w:val="0"/>
        <w:spacing w:lineRule="auto" w:line="288" w:before="79" w:after="283"/>
        <w:jc w:val="left"/>
        <w:rPr/>
      </w:pPr>
      <w:r>
        <w:rPr>
          <w:rFonts w:ascii="Times New Roman;serif" w:hAnsi="Times New Roman;serif"/>
          <w:b w:val="false"/>
          <w:color w:val="000000"/>
          <w:sz w:val="24"/>
        </w:rPr>
        <w:t>2A.    </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This Agreement shall commence on the Effective Date and shall continue for a period of one (1) year (the “Initial Term”). After the Initial Term, this Agreement shall automatically be renewed for successive one-year periods in perpetuity unless one party hereto provides written notice to the other, at least ninety (90) days prior to the end of the Initial Term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or the then current one-year employment period, as applicable, that he or it elects not to extend this Agreement, which notice shall be irrevocable (any such notice, a “Non-Renewal Notice”). The period beginning on the date hereof and ending on the last day of the Initial Term or, if the Agreement is renewed pursuant to the prior sentence, the last day of the last one-year renewal period, shall be referred to hereinafter as the “Term.”</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Notwithstanding any other provision of this Agreement, Executive’s employment hereunder is “at will” and may be terminated at any time for any reason or no reason, with or without cause, by the Company or Executive (subject to compliance with the provisions of Section 1 of the Standard Terms and Conditions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During the Term, Executive’s right to payments upon certain terminations of employment is governed by Section 1(d) of the Standard Terms and Conditions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83"/>
        <w:jc w:val="left"/>
        <w:rPr/>
      </w:pPr>
      <w:r>
        <w:rPr>
          <w:rFonts w:ascii="Times New Roman;serif" w:hAnsi="Times New Roman;serif"/>
          <w:b w:val="false"/>
          <w:color w:val="000000"/>
          <w:sz w:val="24"/>
        </w:rPr>
        <w:t>3A.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period that Executive is employed with the Company hereunder, the Company shall pay Executive an annual base salary of $1,000,000 (the “Base Salary”), payable in equal biweekly installments (or, if different, in accordance with the Company’s payroll practice as in effect from time to time). The Base Salary may be increased from time to time but may not be decreased (including after any increase) in the discretion of the Company. For all purposes under this Agreement, the term “Base Salary” shall refer to the Base Salary as it may be increased from time to time.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DISCRETIONARY CASH BONUSES</w:t>
      </w:r>
      <w:r>
        <w:rPr>
          <w:rFonts w:ascii="Times New Roman;serif" w:hAnsi="Times New Roman;serif"/>
          <w:b w:val="false"/>
          <w:color w:val="000000"/>
          <w:sz w:val="24"/>
        </w:rPr>
        <w:t>. During the period that Executive is employed with the Company hereunder, Executive shall be eligible to receive discretionary annual cash bonuses in a target amount of 100% of the Base Salary (as may be increased from time to time) consistent with past practice and reasonably designed to be consistent with Executive’s position as Chief Executive Officer of a public company of the size, type and nature of the Company (the “Annual Bonus”). The actual amount of any Annual Bonus (which could be less or greater than the target amount set forth above) shall, in all cases, be determined by the Board in consultation with Compensation and Human Resources Committee of the Board in their discretion, based on the factors they deem relevant. The Company shall pay Executive any Annual Bonus at the same time as such bonuses are paid to other similarly situated executives at the Company, but in no event later than March 15 of the year following the year with respect to which such bonus is earned.</w:t>
      </w:r>
    </w:p>
    <w:p>
      <w:pPr>
        <w:pStyle w:val="TextBody"/>
        <w:bidi w:val="0"/>
        <w:spacing w:before="79" w:after="283"/>
        <w:jc w:val="left"/>
        <w:rPr/>
      </w:pPr>
      <w:r>
        <w:rPr/>
      </w:r>
    </w:p>
    <w:p>
      <w:pPr>
        <w:pStyle w:val="TextBody"/>
        <w:bidi w:val="0"/>
        <w:spacing w:lineRule="auto" w:line="288" w:before="79"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BENEFITS</w:t>
      </w:r>
      <w:r>
        <w:rPr>
          <w:rFonts w:ascii="Times New Roman;serif" w:hAnsi="Times New Roman;serif"/>
          <w:b w:val="false"/>
          <w:color w:val="000000"/>
          <w:sz w:val="24"/>
        </w:rPr>
        <w:t>. From the Effective Date through the date of termination of Executive’s employment with the Company for any reason, Executive shall be entitled to participate in any perquisite, welfare, health and life insurance and retirement or pension benefit programs as may be adopted from time to time by the Company on the same basis as that provided to similarly situated employees of the Company. Without limiting the generality of the foregoing, Executive shall be entitled to the following benefits:</w:t>
      </w:r>
    </w:p>
    <w:p>
      <w:pPr>
        <w:pStyle w:val="TextBody"/>
        <w:bidi w:val="0"/>
        <w:spacing w:lineRule="auto" w:line="288" w:before="240" w:after="283"/>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Reimbursement for Business Expenses</w:t>
      </w:r>
      <w:r>
        <w:rPr>
          <w:rFonts w:ascii="Times New Roman;serif" w:hAnsi="Times New Roman;serif"/>
          <w:b w:val="false"/>
          <w:color w:val="000000"/>
          <w:sz w:val="24"/>
        </w:rPr>
        <w:t xml:space="preserve">. During the period that Executive is employed with the Company hereunder, the Company shall reimburse Executive for all reasonable, necessary and documented expenses incurred by Executive in performing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Executive’s duties for the Company, on the same basis as similarly situated employees generally and in accordance with the Company’s policies as in effect from time to time.</w:t>
      </w:r>
    </w:p>
    <w:p>
      <w:pPr>
        <w:pStyle w:val="TextBody"/>
        <w:bidi w:val="0"/>
        <w:spacing w:lineRule="auto" w:line="288" w:before="240" w:after="283"/>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period that Executive is employed with the Company hereunder, Executive shall be entitled to paid vacation each year, in accordance with the plans, policies, programs and practices of the Company applicable to similarly situated employees of the Company generally.</w:t>
      </w:r>
    </w:p>
    <w:p>
      <w:pPr>
        <w:pStyle w:val="TextBody"/>
        <w:bidi w:val="0"/>
        <w:spacing w:lineRule="auto" w:line="288" w:before="240" w:after="283"/>
        <w:jc w:val="left"/>
        <w:rPr/>
      </w:pPr>
      <w:r>
        <w:rPr>
          <w:rFonts w:ascii="Times New Roman;serif" w:hAnsi="Times New Roman;serif"/>
          <w:b w:val="false"/>
          <w:color w:val="000000"/>
          <w:sz w:val="24"/>
        </w:rPr>
        <w:t>4A.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(or if receipt is refused by the recipient, when so refused):</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If to the Company:    People Incorporated</w:t>
      </w:r>
    </w:p>
    <w:p>
      <w:pPr>
        <w:pStyle w:val="TextBody"/>
        <w:bidi w:val="0"/>
        <w:spacing w:lineRule="auto" w:line="288" w:before="0" w:after="0"/>
        <w:jc w:val="left"/>
        <w:rPr/>
      </w:pPr>
      <w:r>
        <w:rPr>
          <w:rFonts w:ascii="Times New Roman;serif" w:hAnsi="Times New Roman;serif"/>
          <w:b w:val="false"/>
          <w:color w:val="000000"/>
          <w:sz w:val="24"/>
        </w:rPr>
        <w:t>555 West 18th Street, 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New York, New York 10011 Attention: General Counsel</w:t>
      </w:r>
    </w:p>
    <w:p>
      <w:pPr>
        <w:pStyle w:val="TextBody"/>
        <w:bidi w:val="0"/>
        <w:spacing w:before="79" w:after="283"/>
        <w:ind w:left="0" w:right="0" w:hanging="4320"/>
        <w:jc w:val="left"/>
        <w:rPr/>
      </w:pPr>
      <w:r>
        <w:rPr/>
      </w:r>
    </w:p>
    <w:p>
      <w:pPr>
        <w:pStyle w:val="TextBody"/>
        <w:bidi w:val="0"/>
        <w:spacing w:lineRule="auto" w:line="288" w:before="79" w:after="283"/>
        <w:ind w:left="0" w:right="0" w:hanging="4320"/>
        <w:jc w:val="left"/>
        <w:rPr>
          <w:rFonts w:ascii="Times New Roman;serif" w:hAnsi="Times New Roman;serif"/>
          <w:b w:val="false"/>
          <w:color w:val="000000"/>
          <w:sz w:val="24"/>
        </w:rPr>
      </w:pPr>
      <w:r>
        <w:rPr>
          <w:rFonts w:ascii="Times New Roman;serif" w:hAnsi="Times New Roman;serif"/>
          <w:b w:val="false"/>
          <w:color w:val="000000"/>
          <w:sz w:val="24"/>
        </w:rPr>
        <w:t>If to Executive:    At the most recent address on file for Executive at the Company</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Either party may change such party’s address for notices by notice duly given pursuant hereto.</w:t>
      </w:r>
    </w:p>
    <w:p>
      <w:pPr>
        <w:pStyle w:val="TextBody"/>
        <w:bidi w:val="0"/>
        <w:spacing w:lineRule="auto" w:line="288" w:before="240" w:after="283"/>
        <w:jc w:val="left"/>
        <w:rPr/>
      </w:pPr>
      <w:r>
        <w:rPr>
          <w:rFonts w:ascii="Times New Roman;serif" w:hAnsi="Times New Roman;serif"/>
          <w:b w:val="false"/>
          <w:color w:val="000000"/>
          <w:sz w:val="24"/>
        </w:rPr>
        <w:t>5A.    </w:t>
      </w:r>
      <w:r>
        <w:rPr>
          <w:rFonts w:ascii="Times New Roman;serif" w:hAnsi="Times New Roman;serif"/>
          <w:b w:val="false"/>
          <w:color w:val="000000"/>
          <w:sz w:val="24"/>
          <w:u w:val="single"/>
        </w:rPr>
        <w:t>GOVERNING LAW; JURISDICTION</w:t>
      </w:r>
      <w:r>
        <w:rPr>
          <w:rFonts w:ascii="Times New Roman;serif" w:hAnsi="Times New Roman;serif"/>
          <w:b w:val="false"/>
          <w:color w:val="000000"/>
          <w:sz w:val="24"/>
        </w:rPr>
        <w:t>. This Agreement and the legal relations thus created between the parties hereto (including, without limitation, any dispute arising out of or related to this Agreement) shall be governed by and construed under and in accordance with the internal laws of the State of New York without reference to its principles of conflicts of laws.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Any such dispute will be heard and determined before an appropriate federal court located in the State of New York in New York County, or, if not maintainable therein, then in an appropriate New York state court located in New York County, and each party hereto submits itself and its property to the non-exclusive jurisdiction of the foregoing courts with respect to such disputes. The parties hereto acknowledge and agree that this Agreement was executed and delivered in the State of New York, that the Company is headquartered in New York City and that, in the course of performing duties hereunder for the Company, Executive shall have multiple contacts with the business and operations of the Company, as well as other businesses and operations in the State of New York, and that for those and other reasons this Agreement and the undertakings of the parties hereunder bear a reasonable relation to the State of New York.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between the parties hereto arising out of or related to this Agreement is conclusive and binding on it and may be enforced against it in the courts of any other jurisdiction.</w:t>
      </w:r>
    </w:p>
    <w:p>
      <w:pPr>
        <w:pStyle w:val="TextBody"/>
        <w:bidi w:val="0"/>
        <w:spacing w:lineRule="auto" w:line="288" w:before="240" w:after="283"/>
        <w:jc w:val="left"/>
        <w:rPr/>
      </w:pPr>
      <w:r>
        <w:rPr>
          <w:rFonts w:ascii="Times New Roman;serif" w:hAnsi="Times New Roman;serif"/>
          <w:b w:val="false"/>
          <w:color w:val="000000"/>
          <w:sz w:val="24"/>
        </w:rPr>
        <w:t>6A.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several counterparts, each of which shall be deemed to be an original but all of which together will constitute one and the same instrument.</w:t>
      </w:r>
    </w:p>
    <w:p>
      <w:pPr>
        <w:pStyle w:val="TextBody"/>
        <w:bidi w:val="0"/>
        <w:spacing w:lineRule="auto" w:line="288" w:before="241" w:after="283"/>
        <w:jc w:val="left"/>
        <w:rPr/>
      </w:pPr>
      <w:r>
        <w:rPr>
          <w:rFonts w:ascii="Times New Roman;serif" w:hAnsi="Times New Roman;serif"/>
          <w:b w:val="false"/>
          <w:color w:val="000000"/>
          <w:sz w:val="24"/>
        </w:rPr>
        <w:t>7A.    </w:t>
      </w:r>
      <w:r>
        <w:rPr>
          <w:rFonts w:ascii="Times New Roman;serif" w:hAnsi="Times New Roman;serif"/>
          <w:b w:val="false"/>
          <w:color w:val="000000"/>
          <w:sz w:val="24"/>
          <w:u w:val="single"/>
        </w:rPr>
        <w:t>STANDARD TERMS AND CONDITIONS</w:t>
      </w:r>
      <w:r>
        <w:rPr>
          <w:rFonts w:ascii="Times New Roman;serif" w:hAnsi="Times New Roman;serif"/>
          <w:b w:val="false"/>
          <w:color w:val="000000"/>
          <w:sz w:val="24"/>
        </w:rPr>
        <w:t xml:space="preserve">. Executive expressly understands and acknowledges that the Standard Terms and Conditions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are incorporated herein by reference, deemed a part of this Agreement and are binding and enforceable provisions of this Agreement. References to “this Agreement” or the use of the term “hereof” shall refer to this Agreement and the Standard Terms and Conditions attached hereto, taken as a whole.</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[The Signature Page Follows]</w:t>
      </w:r>
    </w:p>
    <w:p>
      <w:pPr>
        <w:pStyle w:val="TextBody"/>
        <w:bidi w:val="0"/>
        <w:spacing w:lineRule="auto" w:line="288" w:before="79"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Agreement to be executed and delivered by its duly authorized officer and Executive has executed and delivered this Agreement on the date(s) noted next to their respective signatures below. This Agreement shall supersede and replace the prior Employment Agreement Executive entered into with Dotdash Media Inc. on December 1, 2021 (as amended, the “Prior Agreement”), except that the Standard Terms and Conditions entered into by Executive and attached to the Prior Agreement shall govern with respect to the period prior to the Effective Date.</w:t>
      </w:r>
    </w:p>
    <w:p>
      <w:pPr>
        <w:pStyle w:val="TextBody"/>
        <w:bidi w:val="0"/>
        <w:spacing w:before="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PEOPLE INCORPORATED (F/K/A IAC INC.)</w:t>
            </w:r>
          </w:p>
          <w:p>
            <w:pPr>
              <w:pStyle w:val="TableContents"/>
              <w:bidi w:val="0"/>
              <w:spacing w:before="79" w:after="283"/>
              <w:jc w:val="left"/>
              <w:rPr/>
            </w:pPr>
            <w:r>
              <w:rPr/>
            </w:r>
          </w:p>
          <w:p>
            <w:pPr>
              <w:pStyle w:val="TableContents"/>
              <w:bidi w:val="0"/>
              <w:spacing w:before="79" w:after="283"/>
              <w:jc w:val="left"/>
              <w:rPr/>
            </w:pPr>
            <w:r>
              <w:rPr/>
            </w:r>
          </w:p>
          <w:p>
            <w:pPr>
              <w:pStyle w:val="TableContents"/>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Barry Diller </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Barry Diller</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 and Senior Executive</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August 3, 2026</w:t>
            </w:r>
          </w:p>
          <w:p>
            <w:pPr>
              <w:pStyle w:val="TableContents"/>
              <w:bidi w:val="0"/>
              <w:spacing w:before="0" w:after="0"/>
              <w:jc w:val="left"/>
              <w:rPr/>
            </w:pPr>
            <w:r>
              <w:rPr/>
            </w:r>
          </w:p>
          <w:p>
            <w:pPr>
              <w:pStyle w:val="TableContents"/>
              <w:bidi w:val="0"/>
              <w:spacing w:before="79" w:after="283"/>
              <w:jc w:val="left"/>
              <w:rPr/>
            </w:pPr>
            <w:r>
              <w:rPr/>
            </w:r>
          </w:p>
          <w:p>
            <w:pPr>
              <w:pStyle w:val="TableContents"/>
              <w:bidi w:val="0"/>
              <w:spacing w:before="79" w:after="283"/>
              <w:jc w:val="left"/>
              <w:rPr/>
            </w:pPr>
            <w:r>
              <w:rPr/>
            </w:r>
          </w:p>
          <w:p>
            <w:pPr>
              <w:pStyle w:val="TableContents"/>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EXECUTIVE</w:t>
            </w:r>
          </w:p>
          <w:p>
            <w:pPr>
              <w:pStyle w:val="TableContents"/>
              <w:bidi w:val="0"/>
              <w:spacing w:before="79" w:after="283"/>
              <w:jc w:val="left"/>
              <w:rPr/>
            </w:pPr>
            <w:r>
              <w:rPr/>
            </w:r>
          </w:p>
          <w:p>
            <w:pPr>
              <w:pStyle w:val="TableContents"/>
              <w:bidi w:val="0"/>
              <w:spacing w:before="79" w:after="283"/>
              <w:jc w:val="left"/>
              <w:rPr/>
            </w:pPr>
            <w:r>
              <w:rPr/>
            </w:r>
          </w:p>
          <w:p>
            <w:pPr>
              <w:pStyle w:val="TableContents"/>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Neil Vogel </w:t>
            </w:r>
          </w:p>
          <w:p>
            <w:pPr>
              <w:pStyle w:val="TableContents"/>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Neil Vogel</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tLeast" w:line="266" w:before="0" w:after="0"/>
              <w:jc w:val="left"/>
              <w:rPr>
                <w:rFonts w:ascii="Times New Roman;serif" w:hAnsi="Times New Roman;serif"/>
                <w:b/>
                <w:color w:val="000000"/>
                <w:sz w:val="24"/>
              </w:rPr>
            </w:pPr>
            <w:r>
              <w:rPr>
                <w:rFonts w:ascii="Times New Roman;serif" w:hAnsi="Times New Roman;serif"/>
                <w:b/>
                <w:color w:val="000000"/>
                <w:sz w:val="24"/>
              </w:rPr>
              <w:t>DOTDASH MEDIA INC. NOW KNOWN AS PEOPLE INC. GROUP (FOR PURPOSES OF REPLACING THE PRIOR AGREEMENT)</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Jeff Hartwig </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Jeff Hartwig</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SVP and General Counsel</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August 3, 2026</w:t>
            </w:r>
          </w:p>
          <w:p>
            <w:pPr>
              <w:pStyle w:val="TableContents"/>
              <w:bidi w:val="0"/>
              <w:spacing w:before="0" w:after="0"/>
              <w:jc w:val="left"/>
              <w:rPr/>
            </w:pPr>
            <w:r>
              <w:rPr/>
            </w:r>
          </w:p>
          <w:p>
            <w:pPr>
              <w:pStyle w:val="TableContents"/>
              <w:bidi w:val="0"/>
              <w:spacing w:before="0" w:after="0"/>
              <w:jc w:val="left"/>
              <w:rPr/>
            </w:pPr>
            <w:r>
              <w:rPr/>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79" w:after="283"/>
        <w:jc w:val="center"/>
        <w:rPr/>
      </w:pPr>
      <w:r>
        <w:rPr/>
      </w:r>
    </w:p>
    <w:p>
      <w:pPr>
        <w:pStyle w:val="TextBody"/>
        <w:bidi w:val="0"/>
        <w:spacing w:before="79" w:after="283"/>
        <w:jc w:val="center"/>
        <w:rPr/>
      </w:pPr>
      <w:r>
        <w:rPr/>
      </w:r>
    </w:p>
    <w:p>
      <w:pPr>
        <w:pStyle w:val="TextBody"/>
        <w:bidi w:val="0"/>
        <w:spacing w:before="79" w:after="283"/>
        <w:jc w:val="center"/>
        <w:rPr/>
      </w:pPr>
      <w:r>
        <w:rPr/>
      </w:r>
    </w:p>
    <w:p>
      <w:pPr>
        <w:pStyle w:val="TextBody"/>
        <w:bidi w:val="0"/>
        <w:spacing w:before="79" w:after="283"/>
        <w:jc w:val="center"/>
        <w:rPr/>
      </w:pPr>
      <w:r>
        <w:rPr/>
      </w:r>
    </w:p>
    <w:p>
      <w:pPr>
        <w:pStyle w:val="TextBody"/>
        <w:bidi w:val="0"/>
        <w:spacing w:before="0" w:after="0"/>
        <w:jc w:val="left"/>
        <w:rPr/>
      </w:pPr>
      <w:r>
        <w:rPr/>
      </w:r>
    </w:p>
    <w:p>
      <w:pPr>
        <w:pStyle w:val="TextBody"/>
        <w:bidi w:val="0"/>
        <w:spacing w:before="79"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24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STANDARD TERMS AND CONDITIONS</w:t>
      </w:r>
    </w:p>
    <w:p>
      <w:pPr>
        <w:pStyle w:val="TextBody"/>
        <w:bidi w:val="0"/>
        <w:spacing w:lineRule="auto" w:line="288" w:before="240" w:after="283"/>
        <w:ind w:left="0" w:right="0" w:hanging="719"/>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TERMINATION OF EXECUTIVE’S EMPLOYMENT</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DEATH</w:t>
      </w:r>
      <w:r>
        <w:rPr>
          <w:rFonts w:ascii="Times New Roman;serif" w:hAnsi="Times New Roman;serif"/>
          <w:b w:val="false"/>
          <w:color w:val="000000"/>
          <w:sz w:val="24"/>
        </w:rPr>
        <w:t>. In the event Executive’s employment hereunder is terminated by reason of Executive’s death, the Company shall pay Executive’s designated beneficiary or beneficiaries, within thirty (30) days of Executive’s death in a lump sum in cash: (i) Executive’s Base Salary through the end of the month in which death occurs; (ii) any other Accrued Obligations (as defined in paragraph 1(f) below); and (iii) Executive’s estate shall be entitled to the rights and benefits described in Sections 1(d)(i)(D).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DISABILITY</w:t>
      </w:r>
      <w:r>
        <w:rPr>
          <w:rFonts w:ascii="Times New Roman;serif" w:hAnsi="Times New Roman;serif"/>
          <w:b w:val="false"/>
          <w:color w:val="000000"/>
          <w:sz w:val="24"/>
        </w:rPr>
        <w:t>. Executive’s employment under this Agreement may be terminated by the Company for Disability. “Disability” means the disability of Executive after the expiration of more than one hundred eighty (180) consecutive days after its commencement which is determined to be total and permanent by a physician selected by the Company and reasonably acceptable to Executive, his spouse or a personal representative designated by Executive; provided that Executive shall be deemed to be disabled only following the expiration of ninety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 days following receipt of a written notice from the Company and such physician specifying that a disability has occurred if within such ninety (90) day period he fails to return to managing the business affairs of the Company. A total disability shall mean mental or physical incapacity that prevents Executive from managing the business affairs of the Company. During any period prior to such termination during which Executive is absent from the full-time performance of Executive’s duties with the Company due to Disability, the Company’s obligations under this Agreement shall not be limited or modified in any other way, although Executive’s Base Salary shall be offset by any amounts payable to Executive under any disability insurance plan or policy provided by the Company. Upon termination of Executive’s employment due to Disability, the Company shall pay Executive within thirty (30) days of such termination: (i) Executive’s Base Salary through the end of the month in which termination occurs in a lump sum in cash, offset by any amounts payable to Executive under any disability insurance plan or policy provided by the Company and (ii) any other Accrued Obligations (as defined in paragraph 1(f) below).</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xml:space="preserve">. Upon the termination of Executive’s employment by the Company for Cause (as defined below), the Company shall have no further obligation hereunder, except for the payment of any Accrued Obligations (as defined in paragraph 1(f) below). As used herein, “Cause” shall mean the occurrence of any of the following after the Effective Date: (i) the plea of guilty or nolo contendere to, or conviction for, the commission of a felony offense by Executive;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after indictment, the Company may suspend Executive from the rendition of services, but without limiting or modifying in any other way the Company’s obligations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Executive’s employment shall be immediately reinstated if the indictment is dismissed or otherwise dropped and there is not otherwise grounds to terminate Executive’s employment for Cause; (ii) a willful and material breach by Executive of any of the covenants made by Executive in Section 2 hereof; (iii) Executive’s continued willful and material failure to perform the duties required by this Agreement; or (iv) a willful and material violation by Executive of Company policies pertaining to ethics, wrongdoing or conflicts of interest that results in, or would</w:t>
      </w:r>
    </w:p>
    <w:p>
      <w:pPr>
        <w:pStyle w:val="TextBody"/>
        <w:bidi w:val="0"/>
        <w:spacing w:lineRule="auto" w:line="288" w:before="79" w:after="283"/>
        <w:jc w:val="left"/>
        <w:rPr/>
      </w:pPr>
      <w:r>
        <w:rPr>
          <w:rFonts w:ascii="Times New Roman;serif" w:hAnsi="Times New Roman;serif"/>
          <w:b w:val="false"/>
          <w:color w:val="000000"/>
          <w:sz w:val="24"/>
        </w:rPr>
        <w:t xml:space="preserve">reasonably be expected to result in, material harm to the Company or its reputation;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no event shall Executive’s termination be for “Cause” pursuant to any of clauses (iii) or</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(iv) of this paragraph (c) unless (x) an event or circumstance constituting “Cause” shall have occurred and the Company provides Executive with written notice thereof within thirty (30) days after the Company has knowledge of the occurrence or existence of such event or circumstance, which notice specifically identifies the event or circumstance that the Company believes constitutes Cause, and (y) Executive fails to cure the circumstance or event so identified (if curable) within thirty (30) days after the receipt of such notice.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BY THE COMPANY OTHER THAN FOR DEATH,</w:t>
      </w:r>
      <w:r>
        <w:rPr>
          <w:color w:val="000000"/>
        </w:rPr>
        <w:t xml:space="preserve"> </w:t>
      </w:r>
      <w:r>
        <w:rPr>
          <w:rFonts w:ascii="Times New Roman;serif" w:hAnsi="Times New Roman;serif"/>
          <w:b w:val="false"/>
          <w:color w:val="000000"/>
          <w:sz w:val="24"/>
          <w:u w:val="single"/>
        </w:rPr>
        <w:t>DISABILITY OR CAUSE OR RESIGNATION BY EXECUTIVE FOR GOOD REASON</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(i)If Executive’s employment hereunder is terminated prior to the expiration of the Term by the Company for any reason other than Executive’s death or Disability or for Cause or if Executive resigns for Good Reason, then:</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(A)the Company shall pay to Executive the Base Salary for twelve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(12) months from the date of such termination or resignation (the “Severance Period”), such amount to be payable in equal biweekly installments (or otherwise based on the Company’s payroll practice as in effect from time to time) over the course of the Severance Period;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(B)the Company shall pay Executive within thirty (30) days of the date of such termination or resignation in a lump sum in cash any Accrued Obligations (as defined in paragraph 1(f) below);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(C)any compensation award of Executive based on, or in the form of, Company equity (e.g., restricted stock units, stock options or similar instruments) that is outstanding and unvested at the time of such termination but which would, but for such termination or resignation, have vested during the Severance Period, shall vest as of the date of such termination or resignation and become exercisable;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outstanding award with a vesting schedule that would, but for such termination or resignation, have resulted in a smaller percentage (or none) of the award being vested through the end of the Severance Period than if it vested annually pro rata over its vesting period shall, for purposes of this provision, be treated as though it vested annually pro rata over its vesting period (e.g., if 100 RSUs were granted 2.7 years prior to the date of termination or resignation and vested pro rata on the first five anniversaries of the grant date and 100 RSUs were granted 1.7 years prior to the date of termination or resignation and cliff vested on the fifth anniversary of the grant date, then on the date of termination or resignation, 20 RSUs from the first award (in addition to the 40 RSUs from the first award that had previously vested) and 40 RSUs from the second award would vest);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any amounts that would vest under this provision but for the fact that outstanding performance conditions have not been satisfied shall vest only if, and at such point as, such performance conditions are satisfied;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(D)any then vested Company stock options or similar instruments held by Executive (including those vesting as a result of Section 1(d)(i)(C) above) shall remain exercisable through the date that is twelve (12) months following the date of such termination or resignation or, if earlier, through the scheduled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7665"/>
                <wp:effectExtent l="0" t="0" r="0" b="0"/>
                <wp:wrapNone/>
                <wp:docPr id="1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expiration date of such awards, subject to earlier termination in connection with a change in control transaction.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(ii)The payment to Executive of the severance benefits described in this paragraph 1(d) (including any accelerated vesting) shall be subject to Executive’s (x) execution within twenty-one (21) days following the date of termination of Executive’s employment with the Company (or such longer period as may be required by applicable law), and (y) non-revocation during the applicable revocation period of a general release of the Company and its affiliates, in the form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“Release”) (clauses (x) and (y) of this paragraph, the “Release Conditions”), and Executive’s compliance with the restrictive covenants set forth in Section 2 hereof. Executive acknowledges and agrees that the severance benefits described in paragraph 1(d)(i) constitute good and valuable consideration for such Release.</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 xml:space="preserve">(iii)For purposes of this Agreement, “Good Reason” shall mean the occurrence of any of the following without Executive’s prior written consent: (A) any material reduction in Executive’s Base Salary; (B) the relocation of Executive’s principal place of employment outside of New York, New York; (C) the material reduction in Executive’s title, responsibilities, duties or level of authority as in effect from time to time; (D) the requirement that Executive report anyone other than the Board; or (E) a successor (whether direct or indirect, by purchase, merger, consolidation or otherwise) to all or substantially all of the business and/or assets of the Company does not assume expressly and agree to perform this Agreement in the same manner and to the same extent that the Company would be required to perform it if no such succession had taken place;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no event shall Executive’s resignation be for “Good Reason” unless: (x) an event or circumstance constituting “Good Reason” shall have occurred and Executive provides the Company with written notice thereof within thirty (30) days after Executive has knowledge of the occurrence or existence of such event or circumstance, which notice specifically identifies the event or circumstance that Executive believes constitutes Good Reason, (y) the Company fails to correct the circumstance or event so identified within thirty (30) days after the receipt of such notice, and (z) Executive resigns within ninety (90) days after the date of delivery of the notice referred to in clause (x) above.</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(iv)If Executive obtains other full-time employment during the Severance Period, the amount of any such remaining payments to be provided to Executive pursuant to Section 1(d)(i)(A) above shall be reduced by the amount of cash compensation earned by Executive from such other full-time employment through the end of such period. For purposes of this Section 1(d)(iv), Executive shall have an obligation to inform the Company regarding Executive’s employment status following termination and during the period of time in which the Company is making payments to Executive under Section 1(d)(i)(A) above.</w:t>
      </w:r>
    </w:p>
    <w:p>
      <w:pPr>
        <w:pStyle w:val="TextBody"/>
        <w:bidi w:val="0"/>
        <w:spacing w:lineRule="auto" w:line="288" w:before="240" w:after="283"/>
        <w:ind w:left="0" w:right="0" w:hanging="719"/>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VOLUNTARY TERMINATION BY EXECUTIVE WITHOUT GOOD</w:t>
      </w:r>
    </w:p>
    <w:p>
      <w:pPr>
        <w:pStyle w:val="TextBody"/>
        <w:bidi w:val="0"/>
        <w:spacing w:lineRule="auto" w:line="288" w:before="0" w:after="0"/>
        <w:jc w:val="left"/>
        <w:rPr/>
      </w:pPr>
      <w:r>
        <w:rPr>
          <w:rFonts w:ascii="Times New Roman;serif" w:hAnsi="Times New Roman;serif"/>
          <w:b w:val="false"/>
          <w:color w:val="000000"/>
          <w:sz w:val="24"/>
          <w:u w:val="single"/>
        </w:rPr>
        <w:t>REASON</w:t>
      </w:r>
      <w:r>
        <w:rPr>
          <w:rFonts w:ascii="Times New Roman;serif" w:hAnsi="Times New Roman;serif"/>
          <w:b w:val="false"/>
          <w:color w:val="000000"/>
          <w:sz w:val="24"/>
        </w:rPr>
        <w:t>. If Executive resigns without Good Reason, the Company shall have no further obligation under this Agreement, except for the payment of any Accrued Obligations.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As used in this Agreement, “Accrued Obligations” shall mean the sum of: (i) any portion of Executive’s accrued but unpaid Base Salary through the</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 of death or termination of employment for any reason, as the case may be; (ii) any compensation previously earned but deferred by Executive (together with any interest or earnings thereon) that has not yet been paid and that is not otherwise to be paid at a later date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pursuant to the executive deferred compensation plan of the Company, if any; and (iii) any reimbursements that Executive is entitled to receive under Section 3A(d)(i) of the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NOTICE OF NON-RENEWAL</w:t>
      </w:r>
      <w:r>
        <w:rPr>
          <w:rFonts w:ascii="Times New Roman;serif" w:hAnsi="Times New Roman;serif"/>
          <w:b w:val="false"/>
          <w:color w:val="000000"/>
          <w:sz w:val="24"/>
        </w:rPr>
        <w:t>. If the Company delivers a Non-Renewal Notice to Executive then, provided Executive’s employment hereunder continues through the expiration date then in effect, effective as of such expiration date the Company and Executive shall have the same rights and obligations hereunder as they would if the Company had terminated Executive’s employment hereunder prior to the end of the Term for any reason other than Executive’s death, Disability or Cause.</w:t>
      </w:r>
    </w:p>
    <w:p>
      <w:pPr>
        <w:pStyle w:val="TextBody"/>
        <w:bidi w:val="0"/>
        <w:spacing w:lineRule="auto" w:line="288" w:before="240" w:after="283"/>
        <w:ind w:left="0" w:right="0" w:hanging="812"/>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CONFIDENTIAL INFORMATION; NON-COMPETITION; NON-SOLICITATION;</w:t>
      </w:r>
      <w:r>
        <w:rPr>
          <w:color w:val="000000"/>
        </w:rPr>
        <w:t xml:space="preserve"> </w:t>
      </w:r>
      <w:r>
        <w:rPr>
          <w:rFonts w:ascii="Times New Roman;serif" w:hAnsi="Times New Roman;serif"/>
          <w:b w:val="false"/>
          <w:color w:val="000000"/>
          <w:sz w:val="24"/>
          <w:u w:val="single"/>
        </w:rPr>
        <w:t>AND PROPRIETARY RIGHTS</w:t>
      </w:r>
      <w:r>
        <w:rPr>
          <w:rFonts w:ascii="Times New Roman;serif" w:hAnsi="Times New Roman;serif"/>
          <w:b w:val="false"/>
          <w:color w:val="000000"/>
          <w:sz w:val="24"/>
        </w:rPr>
        <w:t>.</w:t>
      </w:r>
    </w:p>
    <w:p>
      <w:pPr>
        <w:pStyle w:val="TextBody"/>
        <w:bidi w:val="0"/>
        <w:spacing w:lineRule="auto" w:line="288" w:before="240" w:after="283"/>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(i)Executive acknowledges that, while employed by the Company, Executive will occupy a position of trust and confidence. The Company, its subsidiaries and/or affiliates shall provide Executive with “Confidential Information” as referred to below. Executive shall not, except as he may reasonably determine to be required or advisable in order to perform Executive’s duties hereunder or as required by applicable law, without limitation in time, communicate, divulge, disseminate, disclose to others or otherwise use, whether directly or indirectly, any Confidential Information.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rPr>
        <w:t>Confidential Information” shall mean information about the Company or any of its subsidiaries or affiliates, and their respective businesses, employees, consultants, contractors, clients and customers that is not disclosed by the Company or any of its subsidiaries or affiliates or otherwise generally made available to the public (other than by Executive’s breach of the terms hereof) and that was learned or developed by Executive in the course of employment by the Company or any of its subsidiaries or affiliates, including (without limitation) any proprietary knowledge, trade secrets, data, formulae, information and client and customer lists and all papers, resumes, and records (including computer records) of the documents containing such Confidential Information.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or as soon thereafter as possible, all documents, computer tapes and disks, records, lists, data, drawings, prints, notes and written information (and all copies thereof) furnished by the Company and its</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subsidiaries or affiliates or prepared by Executive in the course of Executive’s employment by the Company and its subsidiaries or affiliates (other than Executive’s contacts and personal phone). Notwithstanding any provision to the contrary herein or in any other agreement between the Company and Executive, the Company acknowledges and agrees that personal information, data or other material (“Personal Materials”) shall be and remain the sole property of Executive, and that upon termination of Executive’s employment for any reason, Executive shall be entitled to retain all Personal Materials and a copy of Executive’s calendar and contacts, whether residing or stored on devices or items furnished by the Company or its affiliates or otherwise. As used in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color w:val="000000"/>
        </w:rPr>
      </w:pPr>
      <w:r>
        <w:rPr>
          <w:color w:val="000000"/>
        </w:rPr>
        <w:t>“</w:t>
      </w:r>
      <w:r>
        <w:rPr>
          <w:rFonts w:ascii="Times New Roman;serif" w:hAnsi="Times New Roman;serif"/>
          <w:b w:val="false"/>
          <w:color w:val="000000"/>
          <w:sz w:val="24"/>
        </w:rPr>
        <w:t>subsidiaries” and “affiliates” shall mean any company controlled by, controlling or under common control with the Company.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(iii)Anything herein to the contrary notwithstanding, the provisions of this Section 2(a) shall not apply to information that (A) was known to the public prior to its disclosure to Executive; (B) becomes generally known to the public subsequent to disclosure to Executive through no wrongful act of Executive or any representative of Executive; or (C) Executive is required to disclose by applicable law, regulation or legal process (provided that Executive provides the Company with prior notice of the contemplated disclosure and cooperates with the Company at its expense in seeking a protective order or other appropriate protection of such information).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(iv)Notwithstanding the foregoing or anything herein to the contrary, nothing contained herein shall prohibit Executive from (A)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(B)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Executive’s attorney or in a sealed complaint or other document filed in a lawsuit or other governmental proceeding.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pStyle w:val="TextBody"/>
        <w:bidi w:val="0"/>
        <w:spacing w:lineRule="auto" w:line="288" w:before="241" w:after="283"/>
        <w:ind w:left="0" w:right="0" w:hanging="719"/>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NON-COMPETITION</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(i)In consideration of this Agreement, and for other good and valuable consideration provided hereunder, the receipt and sufficiency of which are hereby acknowledged by Executive, Executive hereby agrees and covenants that, during Executive’s employment hereunder and for the duration of the Severance Period thereafter (the “Restricted Period), Executive shall not, without the prior written consent</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of the Company, directly or indirectly, engage in or become associated with a Competitive Activity.</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(ii)For purposes of this Section 2(b): (A) a “Competitive Activity” means any business or other endeavor involving Similar Products if such business or endeavor is in a country (including the United States) in which the Company or any of its subsidiaries provides, planned to provide or is otherwise developing during Executive’s employment hereunder, such Similar Products; (B) “Similar Products” means any products or services that are the same or similar to any of the types of products or services that the Company or any of its subsidiaries provides, has provided, planned to provide or is otherwise developing during Executive’s employment hereunder; and (C) Executive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considered to have become “associated with a Competitive Activity” if Executive becomes directly or indirectly involved as an owner, principal, employee, officer, director, independent contractor, representative, stockholder, financial backer, agent, partner, member, advisor, lender, consultant or in any other individual or representative capacity with any individual, partnership, corporation or other organization that is engaged in a Competitive Activity.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(iii)Notwithstanding the foregoing, Executive may make and retain investments during the Restricted Period, for investment purposes only, in less than five percent (5%) of the outstanding capital stock of any publicly-traded corporation engaged in a Competitive Activity if the stock of such corporation is either listed on a national stock exchange or on the NASDAQ National Market System if Executive is not otherwise affiliated with such corporation. Executive acknowledges that Executive’s covenants under this Section 2(b) are a material inducement to the Company’s entering into this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Executive recognizes that he will possess Confidential Information about other employees, consultants and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he will possess about these other employees, consultants and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that during Executive’s employment hereunder and for a period of eighteen (18) months thereafter, Executive will not, without the prior written consent of the Company, directly or indirectly, hire or solicit or recruit any employee of (i) the Company and/or (ii) any of its subsidiaries and/or affiliates with whom Executive has had direct contact during his employment hereunder, in each case for the purpose of being employed by Executive or by any business, individual, partnership, firm, corporation or other entity on whose behalf Executive is acting as an agent, representative or employee and that Executive will not convey any such Confidential Information or trade secrets about employees of the Company or any of its subsidiaries or affiliates to any other person except within the scope of Executive’s duties hereunder. Anything to the contrary herein notwithstanding, it shall not be deemed a violation of this Section 2(c) if an entity with which Executive is associated hires or engages any employee of the Company or its subsidiaries of affiliates with a title below the level</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of vice president, so long as Executive was not, directly or indirectly, involved in hiring, soliciting or recruiting such person.</w:t>
      </w:r>
    </w:p>
    <w:p>
      <w:pPr>
        <w:pStyle w:val="TextBody"/>
        <w:bidi w:val="0"/>
        <w:spacing w:lineRule="auto" w:line="288" w:before="240" w:after="283"/>
        <w:ind w:left="0" w:right="0" w:hanging="719"/>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NON-SOLICITATION OF BUSINESS PARTNERS</w:t>
      </w:r>
      <w:r>
        <w:rPr>
          <w:rFonts w:ascii="Times New Roman;serif" w:hAnsi="Times New Roman;serif"/>
          <w:b w:val="false"/>
          <w:color w:val="000000"/>
          <w:sz w:val="24"/>
        </w:rPr>
        <w:t>. During Executive’s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hereunder, and for a period of eighteen (18) months thereafter, Executive shall not, without the prior written consent of the Company, persuade or encourage any business partners or business affiliates of (i) the Company and/or (ii) any of its subsidiaries and/or affiliates, in each case, with whom Executive has direct contact during his employment hereunder, to cease doing business with the Company and/or any of its subsidiaries and/or affiliates or to engage in any business competitive with the Company and/or its subsidiaries and/or affiliates.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PROPRIETARY RIGHTS; ASSIGNMENT</w:t>
      </w:r>
      <w:r>
        <w:rPr>
          <w:rFonts w:ascii="Times New Roman;serif" w:hAnsi="Times New Roman;serif"/>
          <w:b w:val="false"/>
          <w:color w:val="000000"/>
          <w:sz w:val="24"/>
        </w:rPr>
        <w:t xml:space="preserve">. All Employee Developments (defined below) shall be considered works made for hire by Executive for the Company or, as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applicable, its subsidiaries or affiliates, and Executive agrees that all rights of any kind in any Employee Developments belong exclusively to the Company. In order to permit the Company to exploit such Employee Developments, Executive shall promptly and fully report all such Employee Developments to the Company. Except in furtherance of his obligations as an employee of the Company, Executive shall not use or reproduce any portion of any record associated with any Employee Development without prior written consent of the Company or, as applicable, its subsidiaries or affiliates. Executive agrees that in the event actions of Executive are required to ensure that such rights belong to the Company under applicable laws, Executive will cooperate and take whatever such actions are reasonably requested by the Company, whether during or after the Term, and without the need for separate or additional compensation. “Employee Developments” means any idea, know-how, discovery, invention, design, method, technique, improvement, enhancement, development, computer program, machine, algorithm or other work of authorship, developed or conceived during employment and reduced to practice during or following the period of employment, that: (i) concerns or relates to the actual or anticipated business, research or development activities, or operations of the Company or any of its subsidiaries or affiliates, or (ii) results from or is suggested by any undertaking assigned to Executive or work performed by Executive for or on behalf of the Company or any of its subsidiaries or affiliates, whether created alone or with others, during or after working hours, or</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(iii) uses, incorporates or is based on Company equipment, supplies, facilities, trade secrets or inventions of any form or type. All Confidential Information and all Employee Developments are and shall remain the sole property of the Company or any of its subsidiaries or affiliates. Executive shall acquire no proprietary interest in any Confidential Information or Employee Developments developed or acquired during the Term (other than Executives’ contacts). To the extent Executive may, by operation of law or otherwise, acquire any right, title or interest in or to any Confidential Information or Employee Development (other than Executives’ contacts), Executive hereby assigns and covenants to assign to the Company all such proprietary rights without the need for a separate writing or additional compensation. Executive shall, both during and after the Term, upon the Company’s request, promptly execute, acknowledge, and deliver to the Company all such assignments, confirmations of assignment,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w:t>
      </w:r>
    </w:p>
    <w:p>
      <w:pPr>
        <w:pStyle w:val="TextBody"/>
        <w:bidi w:val="0"/>
        <w:spacing w:lineRule="auto" w:line="288" w:before="79" w:after="283"/>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SURVIVAL OF PROVISIONS</w:t>
      </w:r>
      <w:r>
        <w:rPr>
          <w:rFonts w:ascii="Times New Roman;serif" w:hAnsi="Times New Roman;serif"/>
          <w:b w:val="false"/>
          <w:color w:val="000000"/>
          <w:sz w:val="24"/>
        </w:rPr>
        <w:t>. The obligations contained in this Section 2 shall, to the extent provided in this Section 2, survive the termination or expiration of Executive’s employment with the Company and, as applicable, shall be fully enforceable thereafter in accordance with the terms of this Agreement. If it is determined by a court of competent jurisdiction that any restriction in this Section 2 is excessive in duration or scope or is unreasonable or unenforceable under applicable law, it is the intention of the parties that such restriction may be modified or amended by the court to render it enforceable to the maximum extent permitted by applicable law.</w:t>
      </w:r>
    </w:p>
    <w:p>
      <w:pPr>
        <w:pStyle w:val="TextBody"/>
        <w:bidi w:val="0"/>
        <w:spacing w:lineRule="auto" w:line="288" w:before="240" w:after="283"/>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PRIOR AGREEMENTS</w:t>
      </w:r>
      <w:r>
        <w:rPr>
          <w:rFonts w:ascii="Times New Roman;serif" w:hAnsi="Times New Roman;serif"/>
          <w:b w:val="false"/>
          <w:color w:val="000000"/>
          <w:sz w:val="24"/>
        </w:rPr>
        <w:t xml:space="preserve">. Except for any agreements between Executive and the Company relating to currently outstanding equity awards as of the date of this Agreement (which remain outstanding), this Agreement (including the Exhibits hereto) constitutes the entire agreement between the parties and, as of the Effective Date, terminates and supersedes any and all prior agreements and understandings (whether written or oral) between the parties with respect to the subject matter of this Agreement. Executive acknowledges and agrees that neither the Company nor anyone acting on its behalf has made, and is not making,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7665"/>
                <wp:effectExtent l="0" t="0" r="0" b="0"/>
                <wp:wrapNone/>
                <wp:docPr id="17" name="Frame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and in executing this Agreement, Executive has not relied upon, any representations, promises or inducements except to the extent the same is expressly set forth in this Agreement.</w:t>
      </w:r>
    </w:p>
    <w:p>
      <w:pPr>
        <w:pStyle w:val="TextBody"/>
        <w:bidi w:val="0"/>
        <w:spacing w:lineRule="auto" w:line="288" w:before="240" w:after="283"/>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ASSIGNMENT; SUCCESSORS</w:t>
      </w:r>
      <w:r>
        <w:rPr>
          <w:rFonts w:ascii="Times New Roman;serif" w:hAnsi="Times New Roman;serif"/>
          <w:b w:val="false"/>
          <w:color w:val="000000"/>
          <w:sz w:val="24"/>
        </w:rPr>
        <w:t xml:space="preserve">. This Agreement is personal in its nature and none of the parties hereto shall, without the consent of the others, assign or transfer this Agreement or any rights or obligations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Company may assign this Agreement to, or allow any of its obligations to be fulfilled by, or take actions through, any affiliates of the Company (which affiliate clearly has sufficient assets to satisfy the Company’s obligations under this Agreement) and in the event of the merger, consolidation, transfer, or sale of all or substantially all of the assets of the Company or similar transaction (a “Transaction”)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in the event of any such assignment or Transaction, all references herein to the “Company” shall refer to the Company’s assignee or successor hereunder.</w:t>
      </w:r>
    </w:p>
    <w:p>
      <w:pPr>
        <w:pStyle w:val="TextBody"/>
        <w:bidi w:val="0"/>
        <w:spacing w:lineRule="auto" w:line="288" w:before="241" w:after="283"/>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shall make such deductions and withhold such amounts from each payment and benefit made or provided to Executive hereunder, as may be required from time to time by applicable law, governmental regulation or order.</w:t>
      </w:r>
    </w:p>
    <w:p>
      <w:pPr>
        <w:pStyle w:val="TextBody"/>
        <w:bidi w:val="0"/>
        <w:spacing w:before="203" w:after="283"/>
        <w:jc w:val="left"/>
        <w:rPr/>
      </w:pPr>
      <w:r>
        <w:rPr/>
      </w:r>
    </w:p>
    <w:p>
      <w:pPr>
        <w:pStyle w:val="TextBody"/>
        <w:bidi w:val="0"/>
        <w:spacing w:lineRule="auto" w:line="288" w:before="1" w:after="283"/>
        <w:ind w:left="0" w:right="0" w:hanging="719"/>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INTERNAL REVENUE CODE</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(a)This Agreement is not intended to constitute a “nonqualified deferred compensation plan” within the meaning of Section 409A of the Internal Revenue Code of 1986, as amended, and the rules and regulations issued thereunder (“Section 409A”). It is intended that any amounts payable under this Agreement and the Company’s and Executive’s exercise of authority or discretion hereunder shall comply with and avoid the imputation of any tax, penalty or interest under Section 409A. This Agreement shall be construed and interpreted consistent with that intent.</w:t>
      </w:r>
    </w:p>
    <w:p>
      <w:pPr>
        <w:pStyle w:val="TextBody"/>
        <w:bidi w:val="0"/>
        <w:spacing w:lineRule="auto" w:line="288" w:before="79"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(b)For purposes of this Agreement, a “Separation from Service” occurs when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(c)If Executive is a “specified employee” within the meaning of Treasury Regulation Section 1.409A-1(i) as of the date of Executive’s Separation from Service, Executive shall not be entitled to any payment or benefit pursuant to Section 1(d) that constitutes nonqualified deferred compensation under Section 409A until the earlier of: (i) the date which is six (6) months after his Separation from Service for any reason other than death, or (ii) the date of Executive’s death. The provisions of this paragraph 6(c) shall only apply if, and to the extent, required to avoid the imputation of any tax, penalty or interest pursuant to Section 409A. Any amounts otherwise payable to Executive upon or in the six (6) month period following Executive’s Separation from Service that are not so paid by reason of this Section 6(c) shall be paid (without interest) as soon as practicable (and in all events within thirty (30) days) after the date that is six (6) months after Executive’s Separation from Service (or, if earlier, as soon as practicable, and in all events within thirty (30) days, after the date of Executive’s death).</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(d)It is intended that any amounts payable under this Agreement (including reimbursements) and the Company’s and Executive’s exercise of authority or discretion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7665"/>
                <wp:effectExtent l="0" t="0" r="0" b="0"/>
                <wp:wrapNone/>
                <wp:docPr id="18" name="Frame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hereunder shall comply with and avoid the imputation of any tax, penalty or interest under Section 409A of the Code. This Agreement shall be construed and interpreted consistent with that intent.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(e)In no event shall the Company be required to pay Executive any “gross up” or other payment with respect to any taxes or penalties imposed under Section 409A with respect to any benefit paid to Executive hereunder. The Company agrees to take any reasonable steps requested by Executive to avoid adverse tax consequences to Executive as a result of any benefit to Executive hereunder being subject to Section 409A, provided that Executive shall, if requested, reimburse the Company for any incremental costs (other than incidental costs) associated with taking such steps. All payments to be made upon a termination of employment under this Agreement may only be made upon a “separation from service” under Section 409A.</w:t>
      </w:r>
    </w:p>
    <w:p>
      <w:pPr>
        <w:pStyle w:val="TextBody"/>
        <w:bidi w:val="0"/>
        <w:spacing w:lineRule="auto" w:line="288" w:before="24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(f)For purposes of Section 409A, Executive’s right to receive any “installment” payments pursuant to this Agreement shall be treated as a right to receive a series of separate and distinct payments.</w:t>
      </w:r>
    </w:p>
    <w:p>
      <w:pPr>
        <w:pStyle w:val="TextBody"/>
        <w:bidi w:val="0"/>
        <w:spacing w:lineRule="auto" w:line="288" w:before="240" w:after="283"/>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HEADING REFERENCES</w:t>
      </w:r>
      <w:r>
        <w:rPr>
          <w:rFonts w:ascii="Times New Roman;serif" w:hAnsi="Times New Roman;serif"/>
          <w:b w:val="false"/>
          <w:color w:val="000000"/>
          <w:sz w:val="24"/>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to which these Terms and Conditions are attached, taken as a whole.</w:t>
      </w:r>
    </w:p>
    <w:p>
      <w:pPr>
        <w:pStyle w:val="TextBody"/>
        <w:bidi w:val="0"/>
        <w:spacing w:lineRule="auto" w:line="288" w:before="240" w:after="283"/>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REMEDIES FOR BREACH</w:t>
      </w:r>
      <w:r>
        <w:rPr>
          <w:rFonts w:ascii="Times New Roman;serif" w:hAnsi="Times New Roman;serif"/>
          <w:b w:val="false"/>
          <w:color w:val="000000"/>
          <w:sz w:val="24"/>
        </w:rPr>
        <w:t>. Executive expressly agrees and understands that the remedy at law for any breach by Executive of Section 2 of these Standard Terms and Conditions will be inadequate and that damages flowing from such breach are not usually susceptible to being measured in monetary terms. Accordingly, it is acknowledged that, upon Executive’s</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violation of any provision of such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in this Agreement shall be deemed to limit the Company’s remedies at law or in equity for any breach by Executive of any of the provisions of this Agreement, including Section 2, which may be pursued by or available to the Company.</w:t>
      </w:r>
    </w:p>
    <w:p>
      <w:pPr>
        <w:pStyle w:val="TextBody"/>
        <w:bidi w:val="0"/>
        <w:spacing w:lineRule="auto" w:line="288" w:before="240" w:after="283"/>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WAIVER; MODIFICATION</w:t>
      </w:r>
      <w:r>
        <w:rPr>
          <w:rFonts w:ascii="Times New Roman;serif" w:hAnsi="Times New Roman;serif"/>
          <w:b w:val="false"/>
          <w:color w:val="000000"/>
          <w:sz w:val="24"/>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pStyle w:val="TextBody"/>
        <w:bidi w:val="0"/>
        <w:spacing w:lineRule="auto" w:line="288" w:before="240" w:after="283"/>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67665"/>
                <wp:effectExtent l="0" t="0" r="0" b="0"/>
                <wp:wrapNone/>
                <wp:docPr id="19"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shall indemnify and hold Executive harmless for acts and omissions in Executive’s capacity as an officer, director or employee of the Company to the maximum extent permitted under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neither the Company, nor any of its subsidiaries or affiliates shall indemnify Executive for any losses incurred by Executive as a result of acts described in Section 1(c) of these Terms and Conditions. The Company shall also advance, and keep current, Executive’s legal fees and expenses in such matter(s), subject to an undertaking from Executive to repay such advances if it shall be finally determined by a judicial decision that Executive was not entitled to advancement or reimbursement of such fees and expenses.</w:t>
      </w:r>
    </w:p>
    <w:p>
      <w:pPr>
        <w:pStyle w:val="TextBody"/>
        <w:bidi w:val="0"/>
        <w:spacing w:lineRule="auto" w:line="288" w:before="240" w:after="283"/>
        <w:ind w:left="0" w:right="0" w:hanging="719"/>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SECTION 280G; PARACHUTE PAYMENTS</w:t>
      </w:r>
      <w:r>
        <w:rPr>
          <w:rFonts w:ascii="Times New Roman;serif" w:hAnsi="Times New Roman;serif"/>
          <w:b w:val="false"/>
          <w:color w:val="000000"/>
          <w:sz w:val="24"/>
        </w:rPr>
        <w: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(a)</w:t>
      </w:r>
      <w:r>
        <w:rPr>
          <w:rFonts w:ascii="Times New Roman;serif" w:hAnsi="Times New Roman;serif"/>
          <w:b w:val="false"/>
          <w:color w:val="333333"/>
          <w:sz w:val="24"/>
        </w:rPr>
        <w:t>If any payment or benefit Executive will or may receive from the Company or otherwise (a “280G Payment”) would (i) constitute a “parachute payment” within the meaning of Section 280G of the Code, and (ii) but for this sentence, be subject to the excise tax imposed by Section 4999 of the Code (the “Excise Tax”), then any such 280G Payment provided pursuant to this Agreement (a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w:t>
      </w:r>
    </w:p>
    <w:p>
      <w:pPr>
        <w:pStyle w:val="TextBody"/>
        <w:bidi w:val="0"/>
        <w:spacing w:lineRule="auto" w:line="288" w:before="79" w:after="283"/>
        <w:jc w:val="left"/>
        <w:rPr/>
      </w:pPr>
      <w:r>
        <w:rPr>
          <w:rFonts w:ascii="Times New Roman;serif" w:hAnsi="Times New Roman;serif"/>
          <w:b w:val="false"/>
          <w:color w:val="333333"/>
          <w:sz w:val="24"/>
        </w:rPr>
        <w:t>clause (x) of the preceding sentence, the reduction shall occur in the manner (the “</w:t>
      </w:r>
      <w:r>
        <w:rPr>
          <w:rFonts w:ascii="Times New Roman;serif" w:hAnsi="Times New Roman;serif"/>
          <w:b w:val="false"/>
          <w:color w:val="333333"/>
          <w:sz w:val="24"/>
          <w:u w:val="single"/>
        </w:rPr>
        <w:t>Reduction</w:t>
      </w:r>
      <w:r>
        <w:rPr>
          <w:color w:val="333333"/>
        </w:rPr>
        <w:t xml:space="preserve"> </w:t>
      </w:r>
      <w:r>
        <w:rPr>
          <w:rFonts w:ascii="Times New Roman;serif" w:hAnsi="Times New Roman;serif"/>
          <w:b w:val="false"/>
          <w:color w:val="333333"/>
          <w:sz w:val="24"/>
          <w:u w:val="single"/>
        </w:rPr>
        <w:t>Method</w:t>
      </w:r>
      <w:r>
        <w:rPr>
          <w:color w:val="333333"/>
        </w:rPr>
        <w:t>”</w:t>
      </w:r>
      <w:r>
        <w:rPr>
          <w:rFonts w:ascii="Times New Roman;serif" w:hAnsi="Times New Roman;serif"/>
          <w:b w:val="false"/>
          <w:color w:val="333333"/>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val="false"/>
          <w:color w:val="333333"/>
          <w:sz w:val="24"/>
          <w:u w:val="single"/>
        </w:rPr>
        <w:t>Pro Rata Reduction Method</w:t>
      </w:r>
      <w:r>
        <w:rPr>
          <w:color w:val="333333"/>
        </w:rPr>
        <w:t>”</w:t>
      </w:r>
      <w:r>
        <w:rPr>
          <w:rFonts w:ascii="Times New Roman;serif" w:hAnsi="Times New Roman;serif"/>
          <w:b w:val="false"/>
          <w:color w:val="333333"/>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333333"/>
          <w:sz w:val="24"/>
        </w:rPr>
        <w:t>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333333"/>
          <w:sz w:val="24"/>
        </w:rPr>
        <w:t xml:space="preserve">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7665"/>
                <wp:effectExtent l="0" t="0" r="0" b="0"/>
                <wp:wrapNone/>
                <wp:docPr id="20"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240" w:after="283"/>
        <w:jc w:val="left"/>
        <w:rPr/>
      </w:pPr>
      <w:r>
        <w:rPr>
          <w:rFonts w:ascii="Times New Roman;serif" w:hAnsi="Times New Roman;serif"/>
          <w:b w:val="false"/>
          <w:color w:val="333333"/>
          <w:sz w:val="24"/>
        </w:rPr>
        <w:t>Company shall appoint a nationally recognized accounting or law firm to make the determinations required by this Section 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15 calendar days after the date on which Executive’s right to a 280G Payment becomes reasonably likely to occur (if requested at that time by Executive or the Company) or such other time as requested by Executive or the Company</w:t>
      </w:r>
      <w:r>
        <w:rPr>
          <w:rFonts w:ascii="Times New Roman;serif" w:hAnsi="Times New Roman;serif"/>
          <w:b w:val="false"/>
          <w:color w:val="000000"/>
          <w:sz w:val="24"/>
        </w:rPr>
        <w:t>.</w:t>
      </w:r>
    </w:p>
    <w:p>
      <w:pPr>
        <w:pStyle w:val="TextBody"/>
        <w:bidi w:val="0"/>
        <w:spacing w:lineRule="auto" w:line="288" w:before="241" w:after="283"/>
        <w:jc w:val="center"/>
        <w:rPr>
          <w:rFonts w:ascii="Times New Roman;serif" w:hAnsi="Times New Roman;serif"/>
          <w:b w:val="false"/>
          <w:color w:val="000000"/>
          <w:sz w:val="24"/>
        </w:rPr>
      </w:pPr>
      <w:r>
        <w:rPr>
          <w:rFonts w:ascii="Times New Roman;serif" w:hAnsi="Times New Roman;serif"/>
          <w:b w:val="false"/>
          <w:color w:val="000000"/>
          <w:sz w:val="24"/>
        </w:rPr>
        <w:t>[The Signature Page Follows]</w:t>
      </w:r>
    </w:p>
    <w:p>
      <w:pPr>
        <w:pStyle w:val="TextBody"/>
        <w:bidi w:val="0"/>
        <w:spacing w:before="0" w:after="0"/>
        <w:jc w:val="center"/>
        <w:rPr/>
      </w:pPr>
      <w:r>
        <w:rPr/>
      </w:r>
    </w:p>
    <w:p>
      <w:pPr>
        <w:pStyle w:val="TextBody"/>
        <w:bidi w:val="0"/>
        <w:spacing w:before="79"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67665"/>
                <wp:effectExtent l="0" t="0" r="0" b="0"/>
                <wp:wrapNone/>
                <wp:docPr id="21"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ACKNOWLEDGED AND AGREED (the date(s) noted next to their respective signatures below):</w:t>
      </w:r>
    </w:p>
    <w:p>
      <w:pPr>
        <w:pStyle w:val="TextBody"/>
        <w:bidi w:val="0"/>
        <w:spacing w:before="79" w:after="283"/>
        <w:jc w:val="left"/>
        <w:rPr/>
      </w:pPr>
      <w:r>
        <w:rPr/>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PEOPLE INCORPORATED (F/K/A IAC INC.)</w:t>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Barry Diller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Barry Diller</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 and Senior Executive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August 3, 2026</w:t>
      </w:r>
    </w:p>
    <w:p>
      <w:pPr>
        <w:pStyle w:val="TextBody"/>
        <w:bidi w:val="0"/>
        <w:spacing w:before="0" w:after="0"/>
        <w:jc w:val="left"/>
        <w:rPr/>
      </w:pPr>
      <w:r>
        <w:rPr/>
      </w:r>
    </w:p>
    <w:p>
      <w:pPr>
        <w:pStyle w:val="TextBody"/>
        <w:bidi w:val="0"/>
        <w:spacing w:before="79" w:after="283"/>
        <w:jc w:val="left"/>
        <w:rPr/>
      </w:pPr>
      <w:r>
        <w:rPr/>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79" w:after="283"/>
        <w:jc w:val="left"/>
        <w:rPr/>
      </w:pPr>
      <w:r>
        <w:rPr/>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Neil Vogel </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Neil Vogel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7665"/>
                <wp:effectExtent l="0" t="0" r="0" b="0"/>
                <wp:wrapNone/>
                <wp:docPr id="22"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ADDRESS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NAME: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good and valuable consideration, the receipt and sufficiency of which are hereby acknowledged, People Incorporated (f/k/a IAC Inc.) (the “Company”) and you hereby agree to the severance of your employment with the Company upon the following terms and conditions of this agreement (this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1.Effective as of DATE (the “End Date”), you are hereby terminated from your employment as Chief Executive Officer, and from any and all other positions you occupy as an officer, director, or employee of the Company or any subsidiary or affiliate of the Company, and each such employment relationship between the Company or any subsidiary or affiliate of the Company and you is hereby terminated in all respects, except as expressly provided herein. The End Date shall be the date of termination of your employment for purposes of participation in and coverage under all benefit plans and programs sponsored by or through the Company, except as otherwise provided herein or under the terms of the benefit plans, or as required by law.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2.(a) In exchange for the general release in paragraph 9 below and other promises contained herein, you are entitled to the rights and benefits set forth in Section 1(d) of the Standard Terms and Conditions of the Employment Agreement, by and between you and the Company, dated [DATE], 2026 (the “Employment Agreement”). All such payments and benefits will be subject to all applicable tax withholdings and other payroll deductions.</w:t>
      </w:r>
    </w:p>
    <w:p>
      <w:pPr>
        <w:pStyle w:val="TextBody"/>
        <w:bidi w:val="0"/>
        <w:spacing w:before="0" w:after="0"/>
        <w:jc w:val="left"/>
        <w:rPr/>
      </w:pPr>
      <w:r>
        <w:rPr/>
      </w:r>
    </w:p>
    <w:p>
      <w:pPr>
        <w:pStyle w:val="TextBody"/>
        <w:bidi w:val="0"/>
        <w:spacing w:lineRule="auto" w:line="288" w:before="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(b)You hereby agree and acknowledge that the payments and/or benefits provided in paragraph 2(a) exceed any payments, benefits, or other things of value to which you might otherwise be entitled under any policy, plan, or procedure of the Company or any of its subsidiaries or affiliates or pursuant to any prior agreement or contract with the Company or any of its subsidiaries or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3.To the extent the Company will be making any payment to you on or after the End Date, the Company shall have the right to deduct from such payments any personal account balances or other amounts due by you to the Company or any subsidiary or affiliate of the Company.</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4.As of the End Date, you are entitled to your vested account balance, if any, in the Company’s Retirement Savings Plan, subject to the terms and conditions of such plan. The Company will provide you with a summary of the procedures for all such benefits to be transferred, if you so choose, to a new or existing individual retirement account established by</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67665"/>
                <wp:effectExtent l="0" t="0" r="0" b="0"/>
                <wp:wrapNone/>
                <wp:docPr id="23"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you. You are also entitled to your vested account balance, if any, in the Company’s Executive Deferred Compensation Plan, subject to the terms and conditions of such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5.Your short-term and long-term disability insurance coverage provided by the Company ends on the End Date. Long-term disability insurance, to the extent you currently participate in that plan, may be converted to an individual plan (and information about that option will be forwarded to you under separate cover).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6.Your coverage under the Company’s Health and Welfare Benefits Plan, to the extent you currently participate in that plan, will end on the last day of the calendar month of the End Date, </w:t>
      </w:r>
      <w:r>
        <w:rPr>
          <w:rFonts w:ascii="Times New Roman;serif" w:hAnsi="Times New Roman;serif"/>
          <w:b w:val="false"/>
          <w:i/>
          <w:color w:val="000000"/>
          <w:sz w:val="24"/>
        </w:rPr>
        <w:t>i.e.</w:t>
      </w:r>
      <w:r>
        <w:rPr>
          <w:rFonts w:ascii="Times New Roman;serif" w:hAnsi="Times New Roman;serif"/>
          <w:b w:val="false"/>
          <w:color w:val="000000"/>
          <w:sz w:val="24"/>
        </w:rPr>
        <w:t>, END DATE. If you wish to continue your participation and that of your eligible dependents in the Company's group health, dental, vision, and/or flexible spending account plans after the coverage ends, you may do so under applicable federal law (i.e., “COBRA”) by calling COBRA Services at 866-365-2413. All Group Life and Accidental Death and Dismemberment Insurance, to the extent you currently participate in those plans, may be converted to individual plans (and information about those options will be forwarded to you under separate cover).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7.To the extent provided therein, your obligations under any company policy to which you were subject during your employment and which survive termination of your employment shall survive the severance of your employment provided for herein.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8.During your employment at the Company and/or any of its subsidiaries or affiliates, you may have been granted stock options and/or restricted stock units and/or restricted stock by the Company or such subsidiary or affiliate. All terms and conditions of each applicable stock option agreement or restricted stock unit agreement or restricted stock agreement or stock appreciation right award, and the terms and conditions of the applicable plan corresponding thereto (collectively, the “Equity Agreements”), including the forfeiture provisions thereof (as may be modified by the Employment Agreement), shall remain unchanged and in full force and effect. </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9.(a)    For and in consideration of the payments provided for and promises made by the Company herein and other good and valuable consideration, you and your heirs, executors, administrators, trustees, legal representatives, and assigns (collectively, the “Releasors”) hereby waive, release, and forever discharge the Company and its subsidiaries and affiliates, and its and their respective divisions, branches, predecessors, successors, assigns, and past or present directors, officers, employees, agents, partners, members, stockholders, representatives, attorneys, consultants, independent contractors, trustees, administrators, insurers, and fiduciaries, in their individual and representative capacities (collectively, the “Releasees”), of and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related to your employment with or severance from the Company, including without</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limitation with respect to wrongful or tortious termination, constructive discharge, breach of implied or express employment contracts and/or estoppel, discrimination and/or retaliation, libel, slander, the amount, valuation, exercise, determination, correctness, adequacy or non-payment of wages or other compensation, including grants of stock options, stock appreciation rights or any other equity compensation, in each case under any federal, state, or local laws, statutes, rules, or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7665"/>
                <wp:effectExtent l="0" t="0" r="0" b="0"/>
                <wp:wrapNone/>
                <wp:docPr id="24"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regulations of any type or description, including without limitation under Title VII of the Civil Rights Act of 1964; the Civil Rights Act of 1991; the Age Discrimination in Employment Act; the Rehabilitation Act; the National Labor Relations Act; the Fair Labor Standards Act; the Americans With Disabilities Act; the Family Medical Leave Act; the Employee Retirement Income Security Act; the Reconstruction Era Civil Rights Act; the New York State Executive Law, and the New York City Human Rights Law, each as amended, and any other claim of discrimination, harassment, or retaliation in employment (whether based on federal, state, or local law, statutory or decisional), which the Releasors or any of them ever had, now have, or hereafter shall or may have against the Releasees or any of them for, upon, or by reason of any matter, cause, or thing whatsoever from the beginning of the world to the date that you sign this Agreement. Without limiting the generality of the foregoing, except as expressly set forth in this Agreement, the Releasors expressly waive any right or claim for reinstatement of employment, back pay, interest, bonuses, damages, accrued vacation, accrued sick leave, medical, dental, optical, or hospitalization benefits, accidental death and dismemberment coverage, long-term disability coverage, stock or other interests in the Company or any subsidiary or affiliate thereof, life insurance benefits, overtime, severance pay, and/or attorneys’ fees or costs with respect to or derivative of such employment with the Company or the severance thereof.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(b)You acknowledge and agree that by virtue of the foregoing, you have waived any relief available to you (including without limitation monetary damages, equitable relief, and reinstatement) under any of the claims and/or causes of action waived in paragraph 9. You therefore agree that you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paragraph 9, you do not release, waive, or discharge the Company from (i) any claims to seek to enforce this Agreement, (ii) any claims for indemnification, advancement of expenses or contribution with respect to any liability incurred by you as a director or officer of the Company or (iii) any rights as a stockholder or with respect to vested equity awards in respect of Company common stock.</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(c)For the purpose of implementing a full and complete release and discharge of the Releasees, you acknowledge that this Agreement is intended to include in its effect, without limitation, all claims or other matters described in this paragraph 9 that neither party knows or suspects to exist in your favor at the time of execution hereof, and that this Agreement contemplates the extinguishment of any and all such claims or other such matters. The Releasees who are not a party to this Agreement are third-party beneficiaries of this Agreement and are entitled to enforce its provisions.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(d)This release contained in this paragraph 9 specifically excludes (i) any claims arising with respect to events occurring after the Effective Date of this Agreement, (ii) your rights and the Company’s obligations under Section 1(d) of the Standard Terms and Conditions of the Employment Agreement and (ii) the right to indemnification and/or advancement you have or may have under Section 11 of the Standard Terms and Conditions of the Employment</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Agreement, the by-laws and/or certificate of incorporation of the Company or any of its subsidiaries or affiliates or as an insured under any director’s and officer’s liability insurance policy now or previously in force and (iv) any rights with respect to vested equity awards in respect of Company common stock or as a stockholder. Nothing contained in this Release shall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67665"/>
                <wp:effectExtent l="0" t="0" r="0" b="0"/>
                <wp:wrapNone/>
                <wp:docPr id="25" name="Frame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release you from your obligations, including any obligations to abide by restrictive covenants, under the Employment Agreement that continue or are to be performed following termination of employment.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10.(a)    You agree that you will preserve the confidentiality of this Agreement and not discuss or disclose its existence, substance, or contents to anyone and that you will not make any statements to third parties about the circumstances of the termination of your employment, in each case except as required by law; provided, however, that you may disclose the existence, substance, and contents of this Agreement to your immediate family and household members, and to your legal and financial advisors who need to know such information, so long as they have been advised by you of the confidentiality of such information and have agreed to maintain its confidentiality.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Company hereby informs you that, 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your rights under the whistleblower provisions of any applicable federal law or regulation or, for the avoidance of doubt, limit your right to receive an award for information provided to any government authority under such law or regulation.</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11.You represent that you do not have in your possession or custody, and have not failed to return to the Company, all property belonging to the Company, including but not limited to laptop computer, cell phone, keys, access cards for buildings and office floors, and confidential business information and documents.</w:t>
      </w:r>
    </w:p>
    <w:p>
      <w:pPr>
        <w:pStyle w:val="TextBody"/>
        <w:bidi w:val="0"/>
        <w:spacing w:lineRule="auto" w:line="288" w:before="276"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12.This Agreement and all matters or issues related hereto shall be governed by the laws of the State of New York applicable to contracts entered into and performed therein (without reference to its principles of conflicts of laws). The Company and you hereby submit to the jurisdiction of all state courts in the State of New York sitting in New York County, and of the United States District Court for the Southern District of New York, for the purposes of the enforcement of this Agreement. The parties acknowledge that such courts have jurisdiction to interpret and enforce the provisions of this Agreement, and the parties consent to, and waive any and all objections that they may have as to, personal jurisdiction and/or venue in such courts.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13.(a)    This Agreement is binding upon, and shall inure to the benefit of, the parties and their respective heirs, executors, administrators, successors, and assigns.</w:t>
      </w:r>
    </w:p>
    <w:p>
      <w:pPr>
        <w:pStyle w:val="TextBody"/>
        <w:bidi w:val="0"/>
        <w:spacing w:lineRule="auto" w:line="288" w:before="75"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(b)This Agreement is not intended, and shall not be construed, as an admission that any of the Releasees has violated any federal, state, or local law (statutory or decisional), ordinance, or regulation, breached any contract, or committed any wrong whatsoever against you or anyone else.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7665"/>
                <wp:effectExtent l="0" t="0" r="0" b="0"/>
                <wp:wrapNone/>
                <wp:docPr id="26" name="Frame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(c)Except for the Equity Agreements, if any, this Agreement contains the entire understanding of the parties hereto relating to the subject matter of this Agreement and supersedes any and all prior agreements or understandings between the parties hereto with respect thereto, and can be changed only by a writing signed by all parties hereto. No waiver shall be effective against any party unless in writing and signed by the party against whom such waiver shall be enforced.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14.All notices and other communications hereunder shall be deemed to be sufficient if in writing and delivered in person or by a nationally recognized courier service, addressed, if to you, to the address set forth above; and if to the Company,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General Counsel People Incorporated (f/k/a IAC Inc.)</w:t>
      </w:r>
    </w:p>
    <w:p>
      <w:pPr>
        <w:pStyle w:val="TextBody"/>
        <w:bidi w:val="0"/>
        <w:spacing w:lineRule="auto" w:line="288" w:before="0" w:after="0"/>
        <w:jc w:val="left"/>
        <w:rPr/>
      </w:pPr>
      <w:r>
        <w:rPr>
          <w:rFonts w:ascii="Times New Roman;serif" w:hAnsi="Times New Roman;serif"/>
          <w:b w:val="false"/>
          <w:color w:val="000000"/>
          <w:sz w:val="24"/>
        </w:rPr>
        <w:t>555 West 18th Street, 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York, New York 10011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you or the Company may have furnished to the other party in writing. Each notice delivered in person or by overnight courier shall be deemed given when delivered or when delivery is attempted and refused.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15.In case any provision contained in this Agreement shall for any reason be held to be invalid, illegal, or unenforceable in any respect by any court or administrative body with competent jurisdiction, such invalidity, illegality, or unenforceability shall not affect the remaining provisions hereof, which shall remain in full force and effect. Any provision so determined to be invalid, illegal, or unenforceable shall be reformed so that it is valid, legal, and enforceable to the fullest extent permitted by law; or, if such reformation is impossible, then this Agreement shall be construed as if such invalid, illegal, or unenforceable provision had never been contained herein; provided that, upon any finding by a court of competent jurisdiction that this Agreement is illegal and/or unenforceable, you hereby agree to execute and deliver an agreement in substantially the same form as this Agreement, modified to the extent necessary so as to constitute a legal and enforceable agreement. Additionally, you agree that any breach by you of paragraphs 9, 10, and/or 11 shall constitute a material breach of this Agreement as to which the applicable Releasees may seek all relief available under the law.</w:t>
      </w:r>
    </w:p>
    <w:p>
      <w:pPr>
        <w:pStyle w:val="TextBody"/>
        <w:bidi w:val="0"/>
        <w:spacing w:before="1"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16.This Agreement may be executed in two or more counterparts, all of which shall be considered one and the same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17.You acknowledge and agree that, in deciding whether to execute this Agreement, you have read this Agreement and have had at least twenty-one (21) days to consider its terms</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and effects and to ask any questions that you may have of anyone, and that you have executed this Agreement voluntarily and with full understanding of its terms and its effects on you, and that no fact, evidence, event, or transaction currently unknown to you but which may later become known to you will affect in any way or manner the final and unconditional nature of this Agreement. You further acknowledge that: (a) the release provided for herein is granted in exchange for the receipt of consideration that exceeds the amount to which you would otherwise be entitled upon termination of your employment; (b) the waiver of rights under this Agreement is knowing and voluntary as required under the Older Workers Benefit Protection Act; (c) you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67665"/>
                <wp:effectExtent l="0" t="0" r="0" b="0"/>
                <wp:wrapNone/>
                <wp:docPr id="27" name="Frame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are hereby advised by the Company in writing to consult with an attorney, tax, and/or financial advisor of your choice before signing this Agreement, and that the Company has not provided to you any legal, tax, or financial advice in connection with the same; and (d) you have had answered to your satisfaction any questions you have asked with regard to the meaning and significance of any terms or provisions of this Agreement. After signing this Agreement, you shall have seven (7) days (the “Revocation Period”) to revoke your decision by delivering to the Company at the above address a notarized written notice of your desire to revoke the Agreement by no later than the last day of the Revocation Period. This Agreement shall become effective automatically upon the expiration of the Revocation Period if you do not revoke it in the aforesaid manner (the “Effective Date”). If the last day of the Revocation Period falls on a Saturday, Sunday, or legal holiday, the last day of the Revocation Period will be deemed to be the next business day. In the event that you do not accept this Agreement as set forth above, or in the event that you revoke this Agreement in the manner set forth above, the obligation of the Company to provide the payments and/or benefits described in paragraph 2(a) of this Agreement shall immediately become null and void.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SIGNING THIS AGREEMENT, YOU STATE THAT:</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(a)YOU HAVE READ THIS AGREEMENT AND HAVE HAD SUFFICIENT TIME TO CONSIDER ITS TERMS;</w:t>
      </w:r>
    </w:p>
    <w:p>
      <w:pPr>
        <w:pStyle w:val="TextBody"/>
        <w:bidi w:val="0"/>
        <w:spacing w:before="0" w:after="0"/>
        <w:jc w:val="left"/>
        <w:rPr/>
      </w:pPr>
      <w:r>
        <w:rPr/>
      </w:r>
    </w:p>
    <w:p>
      <w:pPr>
        <w:pStyle w:val="TextBody"/>
        <w:bidi w:val="0"/>
        <w:spacing w:lineRule="auto" w:line="288" w:before="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(b)YOU UNDERSTAND ALL OF THE TERMS AND CONDITIONS OF THIS AGREEMENT AND KNOW THAT YOU ARE GIVING UP IMPORTANT RIGHTS;</w:t>
      </w:r>
    </w:p>
    <w:p>
      <w:pPr>
        <w:pStyle w:val="TextBody"/>
        <w:bidi w:val="0"/>
        <w:spacing w:lineRule="auto" w:line="288" w:before="276" w:after="283"/>
        <w:ind w:left="0" w:right="0" w:hanging="923"/>
        <w:jc w:val="left"/>
        <w:rPr>
          <w:rFonts w:ascii="Times New Roman;serif" w:hAnsi="Times New Roman;serif"/>
          <w:b w:val="false"/>
          <w:color w:val="000000"/>
          <w:sz w:val="24"/>
        </w:rPr>
      </w:pPr>
      <w:r>
        <w:rPr>
          <w:rFonts w:ascii="Times New Roman;serif" w:hAnsi="Times New Roman;serif"/>
          <w:b w:val="false"/>
          <w:color w:val="000000"/>
          <w:sz w:val="24"/>
        </w:rPr>
        <w:t>(c)YOU AGREE WITH EVERYTHING IN THIS AGREEMENT;</w:t>
      </w:r>
    </w:p>
    <w:p>
      <w:pPr>
        <w:pStyle w:val="TextBody"/>
        <w:bidi w:val="0"/>
        <w:spacing w:lineRule="auto" w:line="288" w:before="27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(d)YOU ARE AWARE OF YOUR RIGHT TO CONSULT WITH AN ATTORNEY BEFORE SIGNING THIS AGREEMENT, HAVE BEEN ADVISED OF SUCH RIGHT, AND HAD SUFFICIENT TIME TO CONSULT WITH AN ATTORNEY;</w:t>
      </w:r>
    </w:p>
    <w:p>
      <w:pPr>
        <w:pStyle w:val="TextBody"/>
        <w:bidi w:val="0"/>
        <w:spacing w:lineRule="auto" w:line="288" w:before="27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(e)YOU HAVE SIGNED THIS AGREEMENT KNOWINGLY AND VOLUNTARILY; AND</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(f)THIS AGREEMENT INCLUDES A RELEASE BY YOU OF ALL KNOWN AND UNKNOWN CLAIMS AS DESCRIBED IN THIS AGREEMENT.</w:t>
      </w:r>
    </w:p>
    <w:p>
      <w:pPr>
        <w:pStyle w:val="TextBody"/>
        <w:bidi w:val="0"/>
        <w:spacing w:lineRule="auto" w:line="288" w:before="79"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foregoing correctly sets forth our mutual understanding, please sign on the next page and have notarized one copy of this Agreement and return it to the undersigned after the End Date, whereupon this letter shall constitute a binding agreement between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People Incorporated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SIGNER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SIGNER TITLE: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7665"/>
                <wp:effectExtent l="0" t="0" r="0" b="0"/>
                <wp:wrapNone/>
                <wp:docPr id="28" name="Frame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NAME, acknowledge that I have been given at least twenty-one (21) days from the date of this Agreement to consider the terms contained herein and that I have seven (7) days after signing this Agreement in which to rescind my acceptance hereof. I also acknowledge that I have been advised to consult with a lawyer prior to signing this Agreement. I knowingly and voluntarily agree to and accept the terms outlined in this Agreement without reservation and fully understand all of its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On this </w:t>
      </w:r>
      <w:r>
        <w:rPr>
          <w:color w:val="000000"/>
          <w:u w:val="single"/>
        </w:rPr>
        <w:t>    </w:t>
      </w:r>
      <w:r>
        <w:rPr>
          <w:rFonts w:ascii="Times New Roman;serif" w:hAnsi="Times New Roman;serif"/>
          <w:b w:val="false"/>
          <w:color w:val="000000"/>
          <w:sz w:val="24"/>
        </w:rPr>
        <w:t xml:space="preserve">day of </w:t>
      </w:r>
      <w:r>
        <w:rPr>
          <w:color w:val="000000"/>
          <w:u w:val="single"/>
        </w:rPr>
        <w:t>    </w:t>
      </w:r>
      <w:r>
        <w:rPr>
          <w:color w:val="000000"/>
        </w:rPr>
        <w:t xml:space="preserve"> </w:t>
      </w:r>
      <w:r>
        <w:rPr>
          <w:rFonts w:ascii="Times New Roman;serif" w:hAnsi="Times New Roman;serif"/>
          <w:b w:val="false"/>
          <w:color w:val="000000"/>
          <w:sz w:val="24"/>
        </w:rPr>
        <w:t>20</w:t>
      </w:r>
      <w:r>
        <w:rPr>
          <w:color w:val="000000"/>
          <w:u w:val="single"/>
        </w:rPr>
        <w:t xml:space="preserve"> </w:t>
      </w:r>
      <w:r>
        <w:rPr>
          <w:rFonts w:ascii="Times New Roman;serif" w:hAnsi="Times New Roman;serif"/>
          <w:b w:val="false"/>
          <w:color w:val="000000"/>
          <w:sz w:val="24"/>
        </w:rPr>
        <w:t>, before me personally came NAME to me known and known to me to be the person described in and who executed this Agreement, and she duly acknowledged to me that she executed the same.</w:t>
      </w:r>
    </w:p>
    <w:p>
      <w:pPr>
        <w:pStyle w:val="TextBody"/>
        <w:bidi w:val="0"/>
        <w:spacing w:before="0" w:after="0"/>
        <w:jc w:val="left"/>
        <w:rPr/>
      </w:pPr>
      <w:r>
        <w:rPr/>
      </w:r>
    </w:p>
    <w:p>
      <w:pPr>
        <w:pStyle w:val="TextBody"/>
        <w:bidi w:val="0"/>
        <w:spacing w:lineRule="auto" w:line="288" w:before="0" w:after="0"/>
        <w:jc w:val="left"/>
        <w:rPr/>
      </w:pPr>
      <w:r>
        <w:rPr>
          <w:color w:val="000000"/>
          <w:u w:val="single"/>
        </w:rPr>
        <w:t>        </w:t>
      </w:r>
      <w:r>
        <w:rPr>
          <w:color w:val="000000"/>
        </w:rPr>
        <w:t xml:space="preserve">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Notary Public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67665"/>
                <wp:effectExtent l="0" t="0" r="0" b="0"/>
                <wp:wrapNone/>
                <wp:docPr id="29" name="Frame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EMPLOYMENT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EMPLOYMENT AGREEMENT (“Agreement”) is entered into by and between Timothy Quinn (“Executive”) and People Incorporated (f/k/a IAC Inc.), a Delaware corporation (the “Company”), and is effective as of August 5, 2026 (the “Effective Date”).</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desires to establish its right to the services of Executive, in the capacity described below, on the terms and conditions hereinafter set forth, and Executive is willing to accept such employment on such terms and conditions.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agreements hereinafter set forth, Executive and the Company have agreed and do hereby agree as follows:</w:t>
      </w:r>
    </w:p>
    <w:p>
      <w:pPr>
        <w:pStyle w:val="TextBody"/>
        <w:bidi w:val="0"/>
        <w:spacing w:lineRule="auto" w:line="288" w:before="240" w:after="283"/>
        <w:jc w:val="left"/>
        <w:rPr/>
      </w:pPr>
      <w:r>
        <w:rPr>
          <w:rFonts w:ascii="Times New Roman;serif" w:hAnsi="Times New Roman;serif"/>
          <w:b w:val="false"/>
          <w:color w:val="000000"/>
          <w:sz w:val="24"/>
        </w:rPr>
        <w:t>1A.    </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POSITION; POWERS/RESPONSIBILITIES; PERFORMANCE</w:t>
      </w:r>
      <w:r>
        <w:rPr>
          <w:rFonts w:ascii="Times New Roman;serif" w:hAnsi="Times New Roman;serif"/>
          <w:b w:val="false"/>
          <w:color w:val="000000"/>
          <w:sz w:val="24"/>
        </w:rPr>
        <w:t>. During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Term (as defined below), the Company shall employ Executive, and Executive shall be employed, as the Company’s Chief Financial Officer, with the responsibilities, duties and authority Executive has as of the date of this Agreement, as such responsibilities, duties and authority may change in accordance with this Agreement. During Executive’s employment with the Company, Executive shall use good faith efforts to do and perform all services and acts necessary or advisable to fulfill the duties and responsibilities of Executive’s position and to render such services in accordance with the generally applicable policies of the Company as in effect from time to time and otherwise on the terms set forth herein.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REPORTING</w:t>
      </w:r>
      <w:r>
        <w:rPr>
          <w:rFonts w:ascii="Times New Roman;serif" w:hAnsi="Times New Roman;serif"/>
          <w:b w:val="false"/>
          <w:color w:val="000000"/>
          <w:sz w:val="24"/>
        </w:rPr>
        <w:t>. During Executive’s employment with the Company, Executive shall report directly to the Chief Executive Officer of the Company (the “CEO”).</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ADDITIONAL POWERS/RESPONSIBILITIES</w:t>
      </w:r>
      <w:r>
        <w:rPr>
          <w:rFonts w:ascii="Times New Roman;serif" w:hAnsi="Times New Roman;serif"/>
          <w:b w:val="false"/>
          <w:color w:val="000000"/>
          <w:sz w:val="24"/>
        </w:rPr>
        <w:t>. Executive shall have such additional responsibilities, duties and authority with respect to the Company as may reasonably be assigned to Executive from time to time by the CEO, to the extent consistent with Executive’s position.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FULL-TIME SERVICE AND OTHER ACTIVITIES</w:t>
      </w:r>
      <w:r>
        <w:rPr>
          <w:rFonts w:ascii="Times New Roman;serif" w:hAnsi="Times New Roman;serif"/>
          <w:b w:val="false"/>
          <w:color w:val="000000"/>
          <w:sz w:val="24"/>
        </w:rPr>
        <w:t>. Executive agrees to devote all of Executive’s working time, attention and efforts to the Company, except for vacations, illness or incapacity. Executive may (i) participate in industry, religious, civic and charitable activities and, with the consent of the CEO, on corporate boards of directors unrelated to the Company and (ii) manage his and his immediate family’s personal investments, so long as such activities do not materially interfere with Executive’s performance of his duties hereunder or compete with or present an actual or apparent conflict of interest for the Company, which shall be determined by the General Counsel of the Company in his/her good faith judgment.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LOCATION.</w:t>
      </w:r>
      <w:r>
        <w:rPr>
          <w:color w:val="000000"/>
        </w:rPr>
        <w:t xml:space="preserve"> </w:t>
      </w:r>
      <w:r>
        <w:rPr>
          <w:rFonts w:ascii="Times New Roman;serif" w:hAnsi="Times New Roman;serif"/>
          <w:b w:val="false"/>
          <w:color w:val="000000"/>
          <w:sz w:val="24"/>
        </w:rPr>
        <w:t>Executive’s principal place of employment shall be at the Company’s offices located in New York, New York.</w:t>
      </w:r>
    </w:p>
    <w:p>
      <w:pPr>
        <w:pStyle w:val="TextBody"/>
        <w:bidi w:val="0"/>
        <w:spacing w:lineRule="auto" w:line="288" w:before="79" w:after="283"/>
        <w:jc w:val="left"/>
        <w:rPr/>
      </w:pPr>
      <w:r>
        <w:rPr>
          <w:rFonts w:ascii="Times New Roman;serif" w:hAnsi="Times New Roman;serif"/>
          <w:b w:val="false"/>
          <w:color w:val="000000"/>
          <w:sz w:val="24"/>
        </w:rPr>
        <w:t>2A.    </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This Agreement shall commence on the Effective Date and shall continue for a period of one (1) year (the “Initial Term”). After the Initial Term, this Agreement shall automatically be renewed for successive one-year periods in perpetuity unless one party hereto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7665"/>
                <wp:effectExtent l="0" t="0" r="0" b="0"/>
                <wp:wrapNone/>
                <wp:docPr id="30" name="Frame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provides written notice to the other, at least ninety (90) days prior to the end of the Initial Term or the then current one-year employment period, as applicable, that he or it elects not to extend this Agreement, which notice shall be irrevocable (any such notice, a “Non-Renewal Notice”). The period beginning on the date hereof and ending on the last day of the Initial Term or, if the Agreement is renewed pursuant to the prior sentence, the last day of the last one-year renewal period, shall be referred to hereinafter as the “Term.”</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Notwithstanding any other provision of this Agreement, Executive’s employment hereunder is “at will” and may be terminated at any time for any reason or no reason, with or without cause, by the Company or Executive (subject to compliance with the provisions of Section 1 of the Standard Terms and Conditions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During the Term, Executive’s right to payments upon certain terminations of employment is governed by Section 1(d) of the Standard Terms and Conditions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83"/>
        <w:jc w:val="left"/>
        <w:rPr/>
      </w:pPr>
      <w:r>
        <w:rPr>
          <w:rFonts w:ascii="Times New Roman;serif" w:hAnsi="Times New Roman;serif"/>
          <w:b w:val="false"/>
          <w:color w:val="000000"/>
          <w:sz w:val="24"/>
        </w:rPr>
        <w:t>3A.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period that Executive is employed with the Company hereunder, the Company shall pay Executive an annual base salary of $600,000 (the “Base Salary”), payable in equal biweekly installments (or, if different, in accordance with the Company’s payroll practice as in effect from time to time). The Base Salary may be increased from time to time but may not be decreased (including after any increase) in the discretion of the Company. For all purposes under this Agreement, the term “Base Salary” shall refer to the Base Salary as it may be increased from time to time.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DISCRETIONARY CASH BONUSES</w:t>
      </w:r>
      <w:r>
        <w:rPr>
          <w:rFonts w:ascii="Times New Roman;serif" w:hAnsi="Times New Roman;serif"/>
          <w:b w:val="false"/>
          <w:color w:val="000000"/>
          <w:sz w:val="24"/>
        </w:rPr>
        <w:t>. During the period that Executive is employed with the Company hereunder, Executive shall be eligible to receive discretionary annual cash bonuses in a target amount of 50% of the Base Salary (as may be increased from time to time) consistent with past practice and reasonably designed to be consistent with Executive’s position as Chief Financial Officer of a public company of the size, type and nature of the Company (the “Annual Bonus”). The actual amount of any Annual Bonus (which could be less or greater than the target amount set forth above) shall, in all cases, be determined by the Board of Directors of the Company (the “Board”) in consultation with Compensation and Human Resources Committee of the Board in their discretion, based on the factors they deem relevant. The Company shall pay Executive any Annual Bonus at the same time as such bonuses are paid to other similarly situated executives at the Company, but in no event later than March 15 of the year following the year with respect to which such bonus is earned.</w:t>
      </w:r>
    </w:p>
    <w:p>
      <w:pPr>
        <w:pStyle w:val="TextBody"/>
        <w:bidi w:val="0"/>
        <w:spacing w:before="79" w:after="283"/>
        <w:jc w:val="left"/>
        <w:rPr/>
      </w:pPr>
      <w:r>
        <w:rPr/>
      </w:r>
    </w:p>
    <w:p>
      <w:pPr>
        <w:pStyle w:val="TextBody"/>
        <w:bidi w:val="0"/>
        <w:spacing w:lineRule="auto" w:line="288" w:before="79"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BENEFITS</w:t>
      </w:r>
      <w:r>
        <w:rPr>
          <w:rFonts w:ascii="Times New Roman;serif" w:hAnsi="Times New Roman;serif"/>
          <w:b w:val="false"/>
          <w:color w:val="000000"/>
          <w:sz w:val="24"/>
        </w:rPr>
        <w:t>. From the Effective Date through the date of termination of Executive’s employment with the Company for any reason, Executive shall be entitled to participate in any perquisite, welfare, health and life insurance and retirement or pension benefit programs as may be adopted from time to time by the Company on the same basis as that provided to similarly situated employees of the Company. Without limiting the generality of the foregoing, Executive shall be entitled to the following benefits:</w:t>
      </w:r>
    </w:p>
    <w:p>
      <w:pPr>
        <w:pStyle w:val="TextBody"/>
        <w:bidi w:val="0"/>
        <w:spacing w:lineRule="auto" w:line="288" w:before="240" w:after="283"/>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Reimbursement for Business Expenses</w:t>
      </w:r>
      <w:r>
        <w:rPr>
          <w:rFonts w:ascii="Times New Roman;serif" w:hAnsi="Times New Roman;serif"/>
          <w:b w:val="false"/>
          <w:color w:val="000000"/>
          <w:sz w:val="24"/>
        </w:rPr>
        <w:t xml:space="preserve">. During the period that Executive is employed with the Company hereunder, the Company shall reimburse Executive for all reasonable, necessary and documented expenses incurred by Executive in performing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7665"/>
                <wp:effectExtent l="0" t="0" r="0" b="0"/>
                <wp:wrapNone/>
                <wp:docPr id="31" name="Frame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Executive’s duties for the Company, on the same basis as similarly situated employees generally and in accordance with the Company’s policies as in effect from time to time.</w:t>
      </w:r>
    </w:p>
    <w:p>
      <w:pPr>
        <w:pStyle w:val="TextBody"/>
        <w:bidi w:val="0"/>
        <w:spacing w:lineRule="auto" w:line="288" w:before="240" w:after="283"/>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period that Executive is employed with the Company hereunder, Executive shall be entitled to paid vacation each year, in accordance with the plans, policies, programs and practices of the Company applicable to similarly situated employees of the Company generally.</w:t>
      </w:r>
    </w:p>
    <w:p>
      <w:pPr>
        <w:pStyle w:val="TextBody"/>
        <w:bidi w:val="0"/>
        <w:spacing w:lineRule="auto" w:line="288" w:before="240" w:after="283"/>
        <w:jc w:val="left"/>
        <w:rPr/>
      </w:pPr>
      <w:r>
        <w:rPr>
          <w:rFonts w:ascii="Times New Roman;serif" w:hAnsi="Times New Roman;serif"/>
          <w:b w:val="false"/>
          <w:color w:val="000000"/>
          <w:sz w:val="24"/>
        </w:rPr>
        <w:t>4A.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(or if receipt is refused by the recipient, when so refused):</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If to the Company:    People Incorporated</w:t>
      </w:r>
    </w:p>
    <w:p>
      <w:pPr>
        <w:pStyle w:val="TextBody"/>
        <w:bidi w:val="0"/>
        <w:spacing w:lineRule="auto" w:line="288" w:before="0" w:after="0"/>
        <w:jc w:val="left"/>
        <w:rPr/>
      </w:pPr>
      <w:r>
        <w:rPr>
          <w:rFonts w:ascii="Times New Roman;serif" w:hAnsi="Times New Roman;serif"/>
          <w:b w:val="false"/>
          <w:color w:val="000000"/>
          <w:sz w:val="24"/>
        </w:rPr>
        <w:t>555 West 18th Street, 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New York, New York 10011 Attention: General Counsel</w:t>
      </w:r>
    </w:p>
    <w:p>
      <w:pPr>
        <w:pStyle w:val="TextBody"/>
        <w:bidi w:val="0"/>
        <w:spacing w:before="79" w:after="283"/>
        <w:ind w:left="0" w:right="0" w:hanging="4320"/>
        <w:jc w:val="left"/>
        <w:rPr/>
      </w:pPr>
      <w:r>
        <w:rPr/>
      </w:r>
    </w:p>
    <w:p>
      <w:pPr>
        <w:pStyle w:val="TextBody"/>
        <w:bidi w:val="0"/>
        <w:spacing w:lineRule="auto" w:line="288" w:before="79" w:after="283"/>
        <w:ind w:left="0" w:right="0" w:hanging="4320"/>
        <w:jc w:val="left"/>
        <w:rPr>
          <w:rFonts w:ascii="Times New Roman;serif" w:hAnsi="Times New Roman;serif"/>
          <w:b w:val="false"/>
          <w:color w:val="000000"/>
          <w:sz w:val="24"/>
        </w:rPr>
      </w:pPr>
      <w:r>
        <w:rPr>
          <w:rFonts w:ascii="Times New Roman;serif" w:hAnsi="Times New Roman;serif"/>
          <w:b w:val="false"/>
          <w:color w:val="000000"/>
          <w:sz w:val="24"/>
        </w:rPr>
        <w:t>If to Executive:    At the most recent address on file for Executive at the Company</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Either party may change such party’s address for notices by notice duly given pursuant hereto.</w:t>
      </w:r>
    </w:p>
    <w:p>
      <w:pPr>
        <w:pStyle w:val="TextBody"/>
        <w:bidi w:val="0"/>
        <w:spacing w:lineRule="auto" w:line="288" w:before="240" w:after="283"/>
        <w:jc w:val="left"/>
        <w:rPr/>
      </w:pPr>
      <w:r>
        <w:rPr>
          <w:rFonts w:ascii="Times New Roman;serif" w:hAnsi="Times New Roman;serif"/>
          <w:b w:val="false"/>
          <w:color w:val="000000"/>
          <w:sz w:val="24"/>
        </w:rPr>
        <w:t>5A.    </w:t>
      </w:r>
      <w:r>
        <w:rPr>
          <w:rFonts w:ascii="Times New Roman;serif" w:hAnsi="Times New Roman;serif"/>
          <w:b w:val="false"/>
          <w:color w:val="000000"/>
          <w:sz w:val="24"/>
          <w:u w:val="single"/>
        </w:rPr>
        <w:t>GOVERNING LAW; JURISDICTION</w:t>
      </w:r>
      <w:r>
        <w:rPr>
          <w:rFonts w:ascii="Times New Roman;serif" w:hAnsi="Times New Roman;serif"/>
          <w:b w:val="false"/>
          <w:color w:val="000000"/>
          <w:sz w:val="24"/>
        </w:rPr>
        <w:t>. This Agreement and the legal relations thus created between the parties hereto (including, without limitation, any dispute arising out of or related to this Agreement) shall be governed by and construed under and in accordance with the internal laws of the State of New York without reference to its principles of conflicts of laws.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Any such dispute will be heard and determined before an appropriate federal court located in the State of New York in New York County, or, if not maintainable therein, then in an appropriate New York state court located in New York County, and each party hereto submits itself and its property to the non-exclusive jurisdiction of the foregoing courts with respect to such disputes. The parties hereto acknowledge and agree that this Agreement was executed and delivered in the State of New York, that the Company is headquartered in New York City and that, in the course of performing duties hereunder for the Company, Executive shall have multiple contacts with the business and operations of the Company, as well as other businesses and operations in the State of New York, and that for those and other reasons this Agreement and the undertakings of the parties hereunder bear a reasonable relation to the State of New York.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7665"/>
                <wp:effectExtent l="0" t="0" r="0" b="0"/>
                <wp:wrapNone/>
                <wp:docPr id="32" name="Frame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between the parties hereto arising out of or related to this Agreement is conclusive and binding on it and may be enforced against it in the courts of any other jurisdiction.</w:t>
      </w:r>
    </w:p>
    <w:p>
      <w:pPr>
        <w:pStyle w:val="TextBody"/>
        <w:bidi w:val="0"/>
        <w:spacing w:lineRule="auto" w:line="288" w:before="240" w:after="283"/>
        <w:jc w:val="left"/>
        <w:rPr/>
      </w:pPr>
      <w:r>
        <w:rPr>
          <w:rFonts w:ascii="Times New Roman;serif" w:hAnsi="Times New Roman;serif"/>
          <w:b w:val="false"/>
          <w:color w:val="000000"/>
          <w:sz w:val="24"/>
        </w:rPr>
        <w:t>6A.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several counterparts, each of which shall be deemed to be an original but all of which together will constitute one and the same instrument.</w:t>
      </w:r>
    </w:p>
    <w:p>
      <w:pPr>
        <w:pStyle w:val="TextBody"/>
        <w:bidi w:val="0"/>
        <w:spacing w:lineRule="auto" w:line="288" w:before="241" w:after="283"/>
        <w:jc w:val="left"/>
        <w:rPr/>
      </w:pPr>
      <w:r>
        <w:rPr>
          <w:rFonts w:ascii="Times New Roman;serif" w:hAnsi="Times New Roman;serif"/>
          <w:b w:val="false"/>
          <w:color w:val="000000"/>
          <w:sz w:val="24"/>
        </w:rPr>
        <w:t>7A.    </w:t>
      </w:r>
      <w:r>
        <w:rPr>
          <w:rFonts w:ascii="Times New Roman;serif" w:hAnsi="Times New Roman;serif"/>
          <w:b w:val="false"/>
          <w:color w:val="000000"/>
          <w:sz w:val="24"/>
          <w:u w:val="single"/>
        </w:rPr>
        <w:t>STANDARD TERMS AND CONDITIONS</w:t>
      </w:r>
      <w:r>
        <w:rPr>
          <w:rFonts w:ascii="Times New Roman;serif" w:hAnsi="Times New Roman;serif"/>
          <w:b w:val="false"/>
          <w:color w:val="000000"/>
          <w:sz w:val="24"/>
        </w:rPr>
        <w:t xml:space="preserve">. Executive expressly understands and acknowledges that the Standard Terms and Conditions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are incorporated herein by reference, deemed a part of this Agreement and are binding and enforceable provisions of this Agreement. References to “this Agreement” or the use of the term “hereof” shall refer to this Agreement and the Standard Terms and Conditions attached hereto, taken as a whole.</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[The Signature Page Follows]</w:t>
      </w:r>
    </w:p>
    <w:p>
      <w:pPr>
        <w:pStyle w:val="TextBody"/>
        <w:bidi w:val="0"/>
        <w:spacing w:lineRule="auto" w:line="288" w:before="79"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has caused this Agreement to be executed and delivered by its duly authorized officer and Executive has executed and delivered this Agreement on the date(s) noted next to their respective signatures below. </w:t>
      </w:r>
    </w:p>
    <w:p>
      <w:pPr>
        <w:pStyle w:val="TextBody"/>
        <w:bidi w:val="0"/>
        <w:spacing w:before="20" w:after="283"/>
        <w:jc w:val="left"/>
        <w:rPr/>
      </w:pPr>
      <w:r>
        <w:rPr/>
      </w:r>
    </w:p>
    <w:tbl>
      <w:tblPr>
        <w:tblW w:w="5130" w:type="dxa"/>
        <w:jc w:val="left"/>
        <w:tblInd w:w="0" w:type="dxa"/>
        <w:tblLayout w:type="fixed"/>
        <w:tblCellMar>
          <w:top w:w="28" w:type="dxa"/>
          <w:left w:w="28" w:type="dxa"/>
          <w:bottom w:w="28" w:type="dxa"/>
          <w:right w:w="28" w:type="dxa"/>
        </w:tblCellMar>
      </w:tblPr>
      <w:tblGrid>
        <w:gridCol w:w="1643"/>
        <w:gridCol w:w="1443"/>
        <w:gridCol w:w="2044"/>
      </w:tblGrid>
      <w:tr>
        <w:trPr/>
        <w:tc>
          <w:tcPr>
            <w:tcW w:w="16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PEOPLE INCORPORATED (F/K/A IAC INC.)</w:t>
            </w:r>
          </w:p>
          <w:p>
            <w:pPr>
              <w:pStyle w:val="TableContents"/>
              <w:bidi w:val="0"/>
              <w:spacing w:before="79" w:after="283"/>
              <w:jc w:val="left"/>
              <w:rPr/>
            </w:pPr>
            <w:r>
              <w:rPr/>
            </w:r>
          </w:p>
          <w:p>
            <w:pPr>
              <w:pStyle w:val="TableContents"/>
              <w:bidi w:val="0"/>
              <w:spacing w:before="79" w:after="283"/>
              <w:jc w:val="left"/>
              <w:rPr/>
            </w:pPr>
            <w:r>
              <w:rPr/>
            </w:r>
          </w:p>
          <w:p>
            <w:pPr>
              <w:pStyle w:val="TableContents"/>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Barry Diller </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Barry Diller</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 and Senior Executive</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Dated: August 3, 2026 </w:t>
            </w:r>
          </w:p>
          <w:p>
            <w:pPr>
              <w:pStyle w:val="TableContents"/>
              <w:bidi w:val="0"/>
              <w:spacing w:before="79" w:after="283"/>
              <w:jc w:val="left"/>
              <w:rPr/>
            </w:pPr>
            <w:r>
              <w:rPr/>
            </w:r>
          </w:p>
          <w:p>
            <w:pPr>
              <w:pStyle w:val="TableContents"/>
              <w:bidi w:val="0"/>
              <w:spacing w:before="79" w:after="283"/>
              <w:jc w:val="left"/>
              <w:rPr/>
            </w:pPr>
            <w:r>
              <w:rPr/>
            </w:r>
          </w:p>
          <w:p>
            <w:pPr>
              <w:pStyle w:val="TableContents"/>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EXECUTIVE</w:t>
            </w:r>
          </w:p>
          <w:p>
            <w:pPr>
              <w:pStyle w:val="TableContents"/>
              <w:bidi w:val="0"/>
              <w:spacing w:before="79" w:after="283"/>
              <w:jc w:val="left"/>
              <w:rPr/>
            </w:pPr>
            <w:r>
              <w:rPr/>
            </w:r>
          </w:p>
          <w:p>
            <w:pPr>
              <w:pStyle w:val="TableContents"/>
              <w:bidi w:val="0"/>
              <w:spacing w:before="79" w:after="283"/>
              <w:jc w:val="left"/>
              <w:rPr/>
            </w:pPr>
            <w:r>
              <w:rPr/>
            </w:r>
          </w:p>
          <w:p>
            <w:pPr>
              <w:pStyle w:val="TableContents"/>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Timothy Quinn </w:t>
            </w:r>
          </w:p>
          <w:p>
            <w:pPr>
              <w:pStyle w:val="TableContents"/>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Timothy Quinn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r>
        <w:trPr/>
        <w:tc>
          <w:tcPr>
            <w:tcW w:w="513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13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130"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7665"/>
                <wp:effectExtent l="0" t="0" r="0" b="0"/>
                <wp:wrapNone/>
                <wp:docPr id="33" name="Frame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STANDARD TERMS AND CONDITIONS</w:t>
      </w:r>
    </w:p>
    <w:p>
      <w:pPr>
        <w:pStyle w:val="TextBody"/>
        <w:bidi w:val="0"/>
        <w:spacing w:lineRule="auto" w:line="288" w:before="240" w:after="283"/>
        <w:ind w:left="0" w:right="0" w:hanging="719"/>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TERMINATION OF EXECUTIVE’S EMPLOYMENT</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DEATH</w:t>
      </w:r>
      <w:r>
        <w:rPr>
          <w:rFonts w:ascii="Times New Roman;serif" w:hAnsi="Times New Roman;serif"/>
          <w:b w:val="false"/>
          <w:color w:val="000000"/>
          <w:sz w:val="24"/>
        </w:rPr>
        <w:t>. In the event Executive’s employment hereunder is terminated by reason of Executive’s death, the Company shall pay Executive’s designated beneficiary or beneficiaries, within thirty (30) days of Executive’s death in a lump sum in cash: (i) Executive’s Base Salary through the end of the month in which death occurs; (ii) any other Accrued Obligations (as defined in paragraph 1(f) below); and (iii) Executive’s estate shall be entitled to the rights and benefits described in Sections 1(d)(i)(D).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DISABILITY</w:t>
      </w:r>
      <w:r>
        <w:rPr>
          <w:rFonts w:ascii="Times New Roman;serif" w:hAnsi="Times New Roman;serif"/>
          <w:b w:val="false"/>
          <w:color w:val="000000"/>
          <w:sz w:val="24"/>
        </w:rPr>
        <w:t>. Executive’s employment under this Agreement may be terminated by the Company for Disability. “Disability” means the disability of Executive after the expiration of more than one hundred eighty (180) consecutive days after its commencement which is determined to be total and permanent by a physician selected by the Company and reasonably acceptable to Executive, his spouse or a personal representative designated by Executive; provided that Executive shall be deemed to be disabled only following the expiration of ninety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 days following receipt of a written notice from the Company and such physician specifying that a disability has occurred if within such ninety (90) day period he fails to return to managing the business affairs of the Company. A total disability shall mean mental or physical incapacity that prevents Executive from managing the business affairs of the Company. During any period prior to such termination during which Executive is absent from the full-time performance of Executive’s duties with the Company due to Disability, the Company’s obligations under this Agreement shall not be limited or modified in any other way, although Executive’s Base Salary shall be offset by any amounts payable to Executive under any disability insurance plan or policy provided by the Company. Upon termination of Executive’s employment due to Disability, the Company shall pay Executive within thirty (30) days of such termination: (i) Executive’s Base Salary through the end of the month in which termination occurs in a lump sum in cash, offset by any amounts payable to Executive under any disability insurance plan or policy provided by the Company and (ii) any other Accrued Obligations (as defined in paragraph 1(f) below).</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xml:space="preserve">. Upon the termination of Executive’s employment by the Company for Cause (as defined below), the Company shall have no further obligation hereunder, except for the payment of any Accrued Obligations (as defined in paragraph 1(f) below). As used herein, “Cause” shall mean the occurrence of any of the following after the Effective Date: (i) the plea of guilty or nolo contendere to, or conviction for, the commission of a felony offense by Executive;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after indictment, the Company may suspend Executive from the rendition of services, but without limiting or modifying in any other way the Company’s obligations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Executive’s employment shall be immediately reinstated if the indictment is dismissed or otherwise dropped and there is not otherwise grounds to terminate Executive’s employment for Cause; (ii) a willful and material breach by Executive of any of the covenants made by Executive in Section 2 hereof; (iii) Executive’s continued willful and material failure to perform the duties required by this Agreement; or (iv) a willful and material violation by Executive of Company policies pertaining to ethics, wrongdoing or conflicts of interest that results in, or would</w:t>
      </w:r>
    </w:p>
    <w:p>
      <w:pPr>
        <w:pStyle w:val="TextBody"/>
        <w:bidi w:val="0"/>
        <w:spacing w:lineRule="auto" w:line="288" w:before="79" w:after="283"/>
        <w:jc w:val="left"/>
        <w:rPr/>
      </w:pPr>
      <w:r>
        <w:rPr>
          <w:rFonts w:ascii="Times New Roman;serif" w:hAnsi="Times New Roman;serif"/>
          <w:b w:val="false"/>
          <w:color w:val="000000"/>
          <w:sz w:val="24"/>
        </w:rPr>
        <w:t xml:space="preserve">reasonably be expected to result in, material harm to the Company or its reputation;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no event shall Executive’s termination be for “Cause” pursuant to any of clauses (iii) or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(iv) of this paragraph (c) unless (x) an event or circumstance constituting “Cause” shall have occurred and the Company provides Executive with written notice thereof within thirty (30) days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34"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after the Company has knowledge of the occurrence or existence of such event or circumstance, which notice specifically identifies the event or circumstance that the Company believes constitutes Cause, and (y) Executive fails to cure the circumstance or event so identified (if curable) within thirty (30) days after the receipt of such notice.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BY THE COMPANY OTHER THAN FOR DEATH,</w:t>
      </w:r>
      <w:r>
        <w:rPr>
          <w:color w:val="000000"/>
        </w:rPr>
        <w:t xml:space="preserve"> </w:t>
      </w:r>
      <w:r>
        <w:rPr>
          <w:rFonts w:ascii="Times New Roman;serif" w:hAnsi="Times New Roman;serif"/>
          <w:b w:val="false"/>
          <w:color w:val="000000"/>
          <w:sz w:val="24"/>
          <w:u w:val="single"/>
        </w:rPr>
        <w:t>DISABILITY OR CAUSE OR RESIGNATION BY EXECUTIVE FOR GOOD REASON</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(i)If Executive’s employment hereunder is terminated prior to the expiration of the Term by the Company for any reason other than Executive’s death or Disability or for Cause or if Executive resigns for Good Reason, then:</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(A)the Company shall pay to Executive the Base Salary for twelve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(12) months from the date of such termination or resignation (the “Severance Period”), such amount to be payable in equal biweekly installments (or otherwise based on the Company’s payroll practice as in effect from time to time) over the course of the Severance Period;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(B)the Company shall pay Executive within thirty (30) days of the date of such termination or resignation in a lump sum in cash any Accrued Obligations (as defined in paragraph 1(f) below);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(C)any compensation award of Executive based on, or in the form of, Company equity (e.g., restricted stock units, stock options or similar instruments) that is outstanding and unvested at the time of such termination but which would, but for such termination or resignation, have vested during the Severance Period, shall vest as of the date of such termination or resignation and become exercisable;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outstanding award with a vesting schedule that would, but for such termination or resignation, have resulted in a smaller percentage (or none) of the award being vested through the end of the Severance Period than if it vested annually pro rata over its vesting period shall, for purposes of this provision, be treated as though it vested annually pro rata over its vesting period (e.g., if 100 RSUs were granted 2.7 years prior to the date of termination or resignation and vested pro rata on the first five anniversaries of the grant date and 100 RSUs were granted 1.7 years prior to the date of termination or resignation and cliff vested on the fifth anniversary of the grant date, then on the date of termination or resignation, 20 RSUs from the first award (in addition to the 40 RSUs from the first award that had previously vested) and 40 RSUs from the second award would vest);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any amounts that would vest under this provision but for the fact that outstanding performance conditions have not been satisfied shall vest only if, and at such point as, such performance conditions are satisfied;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(D)any then vested Company stock options or similar instruments held by Executive (including those vesting as a result of Section 1(d)(i)(C) above) shall remain exercisable through the date that is twelve (12) months following the date of such termination or resignation or, if earlier, through the scheduled expiration date of such awards, subject to earlier termination in connection with a change in control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7665"/>
                <wp:effectExtent l="0" t="0" r="0" b="0"/>
                <wp:wrapNone/>
                <wp:docPr id="35"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(ii)The payment to Executive of the severance benefits described in this paragraph 1(d) (including any accelerated vesting) shall be subject to Executive’s (x) execution within twenty-one (21) days following the date of termination of Executive’s employment with the Company (or such longer period as may be required by applicable law), and (y) non-revocation during the applicable revocation period of a general release of the Company and its affiliates, in the form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“Release”) (clauses (x) and (y) of this paragraph, the “Release Conditions”), and Executive’s compliance with the restrictive covenants set forth in Section 2 hereof. Executive acknowledges and agrees that the severance benefits described in paragraph 1(d)(i) constitute good and valuable consideration for such Release.</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 xml:space="preserve">(iii)For purposes of this Agreement, “Good Reason” shall mean the occurrence of any of the following without Executive’s prior written consent: (A) any material reduction in Executive’s Base Salary; (B) the relocation of Executive’s principal place of employment outside of New York, New York; (C) the material reduction in Executive’s title, responsibilities, duties or level of authority as in effect from time to time; (D) the requirement that Executive report anyone other than the CEO or the Board; or (E) a successor (whether direct or indirect, by purchase, merger, consolidation or otherwise) to all or substantially all of the business and/or assets of the Company does not assume expressly and agree to perform this Agreement in the same manner and to the same extent that the Company would be required to perform it if no such succession had taken place;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no event shall Executive’s resignation be for “Good Reason” unless: (x) an event or circumstance constituting “Good Reason” shall have occurred and Executive provides the Company with written notice thereof within thirty (30) days after Executive has knowledge of the occurrence or existence of such event or circumstance, which notice specifically identifies the event or circumstance that Executive believes constitutes Good Reason, (y) the Company fails to correct the circumstance or event so identified within thirty (30) days after the receipt of such notice, and (z) Executive resigns within ninety (90) days after the date of delivery of the notice referred to in clause (x) above.</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(iv)If Executive obtains other full-time employment during the Severance Period, the amount of any such remaining payments to be provided to Executive pursuant to Section 1(d)(i)(A) above shall be reduced by the amount of cash compensation earned by Executive from such other full-time employment through the end of such period. For purposes of this Section 1(d)(iv), Executive shall have an obligation to inform the Company regarding Executive’s employment status following termination and during the period of time in which the Company is making payments to Executive under Section 1(d)(i)(A) above.</w:t>
      </w:r>
    </w:p>
    <w:p>
      <w:pPr>
        <w:pStyle w:val="TextBody"/>
        <w:bidi w:val="0"/>
        <w:spacing w:lineRule="auto" w:line="288" w:before="240" w:after="283"/>
        <w:ind w:left="0" w:right="0" w:hanging="719"/>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VOLUNTARY TERMINATION BY EXECUTIVE WITHOUT GOOD</w:t>
      </w:r>
    </w:p>
    <w:p>
      <w:pPr>
        <w:pStyle w:val="TextBody"/>
        <w:bidi w:val="0"/>
        <w:spacing w:lineRule="auto" w:line="288" w:before="0" w:after="0"/>
        <w:jc w:val="left"/>
        <w:rPr/>
      </w:pPr>
      <w:r>
        <w:rPr>
          <w:rFonts w:ascii="Times New Roman;serif" w:hAnsi="Times New Roman;serif"/>
          <w:b w:val="false"/>
          <w:color w:val="000000"/>
          <w:sz w:val="24"/>
          <w:u w:val="single"/>
        </w:rPr>
        <w:t>REASON</w:t>
      </w:r>
      <w:r>
        <w:rPr>
          <w:rFonts w:ascii="Times New Roman;serif" w:hAnsi="Times New Roman;serif"/>
          <w:b w:val="false"/>
          <w:color w:val="000000"/>
          <w:sz w:val="24"/>
        </w:rPr>
        <w:t>. If Executive resigns without Good Reason, the Company shall have no further obligation under this Agreement, except for the payment of any Accrued Obligations.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As used in this Agreement, “Accrued Obligations” shall mean the sum of: (i) any portion of Executive’s accrued but unpaid Base Salary through the</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date of death or termination of employment for any reason, as the case may be; (ii) any compensation previously earned but deferred by Executive (together with any interest or earnings thereon) that has not yet been paid and that is not otherwise to be paid at a later date pursuant to the executive deferred compensation plan of the Company, if any; and (iii) any reimbursements that Executive is entitled to receive under Section 3A(d)(i)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7665"/>
                <wp:effectExtent l="0" t="0" r="0" b="0"/>
                <wp:wrapNone/>
                <wp:docPr id="36" name="Frame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NOTICE OF NON-RENEWAL</w:t>
      </w:r>
      <w:r>
        <w:rPr>
          <w:rFonts w:ascii="Times New Roman;serif" w:hAnsi="Times New Roman;serif"/>
          <w:b w:val="false"/>
          <w:color w:val="000000"/>
          <w:sz w:val="24"/>
        </w:rPr>
        <w:t>. If the Company delivers a Non-Renewal Notice to Executive then, provided Executive’s employment hereunder continues through the expiration date then in effect, effective as of such expiration date the Company and Executive shall have the same rights and obligations hereunder as they would if the Company had terminated Executive’s employment hereunder prior to the end of the Term for any reason other than Executive’s death, Disability or Cause.</w:t>
      </w:r>
    </w:p>
    <w:p>
      <w:pPr>
        <w:pStyle w:val="TextBody"/>
        <w:bidi w:val="0"/>
        <w:spacing w:lineRule="auto" w:line="288" w:before="240" w:after="283"/>
        <w:ind w:left="0" w:right="0" w:hanging="812"/>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CONFIDENTIAL INFORMATION; NON-COMPETITION; NON-SOLICITATION;</w:t>
      </w:r>
      <w:r>
        <w:rPr>
          <w:color w:val="000000"/>
        </w:rPr>
        <w:t xml:space="preserve"> </w:t>
      </w:r>
      <w:r>
        <w:rPr>
          <w:rFonts w:ascii="Times New Roman;serif" w:hAnsi="Times New Roman;serif"/>
          <w:b w:val="false"/>
          <w:color w:val="000000"/>
          <w:sz w:val="24"/>
          <w:u w:val="single"/>
        </w:rPr>
        <w:t>AND PROPRIETARY RIGHTS</w:t>
      </w:r>
      <w:r>
        <w:rPr>
          <w:rFonts w:ascii="Times New Roman;serif" w:hAnsi="Times New Roman;serif"/>
          <w:b w:val="false"/>
          <w:color w:val="000000"/>
          <w:sz w:val="24"/>
        </w:rPr>
        <w:t>.</w:t>
      </w:r>
    </w:p>
    <w:p>
      <w:pPr>
        <w:pStyle w:val="TextBody"/>
        <w:bidi w:val="0"/>
        <w:spacing w:lineRule="auto" w:line="288" w:before="240" w:after="283"/>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(i)Executive acknowledges that, while employed by the Company, Executive will occupy a position of trust and confidence. The Company, its subsidiaries and/or affiliates shall provide Executive with “Confidential Information” as referred to below. Executive shall not, except as he may reasonably determine to be required or advisable in order to perform Executive’s duties hereunder or as required by applicable law, without limitation in time, communicate, divulge, disseminate, disclose to others or otherwise use, whether directly or indirectly, any Confidential Information.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rPr>
        <w:t>Confidential Information” shall mean information about the Company or any of its subsidiaries or affiliates, and their respective businesses, employees, consultants, contractors, clients and customers that is not disclosed by the Company or any of its subsidiaries or affiliates or otherwise generally made available to the public (other than by Executive’s breach of the terms hereof) and that was learned or developed by Executive in the course of employment by the Company or any of its subsidiaries or affiliates, including (without limitation) any proprietary knowledge, trade secrets, data, formulae, information and client and customer lists and all papers, resumes, and records (including computer records) of the documents containing such Confidential Information.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or as soon thereafter as possible, all documents, computer tapes and disks, records, lists, data, drawings, prints, notes and written information (and all copies thereof) furnished by the Company and its</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subsidiaries or affiliates or prepared by Executive in the course of Executive’s employment by the Company and its subsidiaries or affiliates (other than Executive’s contacts and personal phone). Notwithstanding any provision to the contrary herein or in any other agreement between the Company and Executive, the Company acknowledges and agrees that personal information, data or other material (“Personal Materials”) shall be and remain the sole property of Executive, and that upon termination of Executive’s employment for any reason, Executive shall be entitled to retain all Personal Materials and a copy of Executive’s calendar and contacts, whether residing or stored on devices or items furnished by the Company or its affiliates or otherwise. As used in this Agreement, “subsidiaries” and “affiliates” shall mean any company controlled by, controlling or under common control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7665"/>
                <wp:effectExtent l="0" t="0" r="0" b="0"/>
                <wp:wrapNone/>
                <wp:docPr id="37" name="Frame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(iii)Anything herein to the contrary notwithstanding, the provisions of this Section 2(a) shall not apply to information that (A) was known to the public prior to its disclosure to Executive; (B) becomes generally known to the public subsequent to disclosure to Executive through no wrongful act of Executive or any representative of Executive; or (C) Executive is required to disclose by applicable law, regulation or legal process (provided that Executive provides the Company with prior notice of the contemplated disclosure and cooperates with the Company at its expense in seeking a protective order or other appropriate protection of such information).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(iv)Notwithstanding the foregoing or anything herein to the contrary, nothing contained herein shall prohibit Executive from (A)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(B)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Executive’s attorney or in a sealed complaint or other document filed in a lawsuit or other governmental proceeding.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pStyle w:val="TextBody"/>
        <w:bidi w:val="0"/>
        <w:spacing w:lineRule="auto" w:line="288" w:before="241" w:after="283"/>
        <w:ind w:left="0" w:right="0" w:hanging="719"/>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NON-COMPETITION</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(i)In consideration of this Agreement, and for other good and valuable consideration provided hereunder, the receipt and sufficiency of which are hereby acknowledged by Executive, Executive hereby agrees and covenants that, during Executive’s employment hereunder and for the duration of the Severance Period thereafter (the “Restricted Period), Executive shall not, without the prior written consent</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of the Company, directly or indirectly, engage in or become associated with a Competitive Activity.</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(ii)For purposes of this Section 2(b): (A) a “Competitive Activity” means any business or other endeavor involving Similar Products if such business or endeavor is in a country (including the United States) in which the Company or any of its subsidiaries provides, planned to provide or is otherwise developing during Executive’s employment hereunder, such Similar Products; (B) “Similar Products” means any products or services that are the same or similar to any of the types of products or services that the Company or any of its subsidiaries provides, has provided, planned to provide or is otherwise developing during Executive’s employment hereunder; and (C) Executive shall be considered to have become “associated with a Competitive Activity” if Executive becomes directly or indirectly involved as an owner, principal, employee, officer, director, independent contractor, representative, stockholder, financial backer, agent,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38"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partner, member, advisor, lender, consultant or in any other individual or representative capacity with any individual, partnership, corporation or other organization that is engaged in a Competitive Activity.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(iii)Notwithstanding the foregoing, Executive may make and retain investments during the Restricted Period, for investment purposes only, in less than five percent (5%) of the outstanding capital stock of any publicly-traded corporation engaged in a Competitive Activity if the stock of such corporation is either listed on a national stock exchange or on the NASDAQ National Market System if Executive is not otherwise affiliated with such corporation. Executive acknowledges that Executive’s covenants under this Section 2(b) are a material inducement to the Company’s entering into this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Executive recognizes that he will possess Confidential Information about other employees, consultants and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he will possess about these other employees, consultants and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that during Executive’s employment hereunder and for a period of eighteen (18) months thereafter, Executive will not, without the prior written consent of the Company, directly or indirectly, hire or solicit or recruit any employee of (i) the Company and/or (ii) any of its subsidiaries and/or affiliates with whom Executive has had direct contact during his employment hereunder, in each case for the purpose of being employed by Executive or by any business, individual, partnership, firm, corporation or other entity on whose behalf Executive is acting as an agent, representative or employee and that Executive will not convey any such Confidential Information or trade secrets about employees of the Company or any of its subsidiaries or affiliates to any other person except within the scope of Executive’s duties hereunder. Anything to the contrary herein notwithstanding, it shall not be deemed a violation of this Section 2(c) if an entity with which Executive is associated hires or engages any employee of the Company or its subsidiaries of affiliates with a title below the level</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of vice president, so long as Executive was not, directly or indirectly, involved in hiring, soliciting or recruiting such person.</w:t>
      </w:r>
    </w:p>
    <w:p>
      <w:pPr>
        <w:pStyle w:val="TextBody"/>
        <w:bidi w:val="0"/>
        <w:spacing w:lineRule="auto" w:line="288" w:before="240" w:after="283"/>
        <w:ind w:left="0" w:right="0" w:hanging="719"/>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NON-SOLICITATION OF BUSINESS PARTNERS</w:t>
      </w:r>
      <w:r>
        <w:rPr>
          <w:rFonts w:ascii="Times New Roman;serif" w:hAnsi="Times New Roman;serif"/>
          <w:b w:val="false"/>
          <w:color w:val="000000"/>
          <w:sz w:val="24"/>
        </w:rPr>
        <w:t>. During Executive’s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hereunder, and for a period of eighteen (18) months thereafter, Executive shall not, without the prior written consent of the Company, persuade or encourage any business partners or business affiliates of (i) the Company and/or (ii) any of its subsidiaries and/or affiliates, in each case, with whom Executive has direct contact during his employment hereunder, to cease doing business with the Company and/or any of its subsidiaries and/or affiliates or to engage in any business competitive with the Company and/or its subsidiaries and/or affiliates.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PROPRIETARY RIGHTS; ASSIGNMENT</w:t>
      </w:r>
      <w:r>
        <w:rPr>
          <w:rFonts w:ascii="Times New Roman;serif" w:hAnsi="Times New Roman;serif"/>
          <w:b w:val="false"/>
          <w:color w:val="000000"/>
          <w:sz w:val="24"/>
        </w:rPr>
        <w:t xml:space="preserve">. All Employee Developments (defined below) shall be considered works made for hire by Executive for the Company or, as applicable, its subsidiaries or affiliates, and Executive agrees that all rights of any kind in any Employee Developments belong exclusively to the Company. In order to permit the Company to exploit such Employee Developments, Executive shall promptly and fully report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39"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Employee Developments to the Company. Except in furtherance of his obligations as an employee of the Company, Executive shall not use or reproduce any portion of any record associated with any Employee Development without prior written consent of the Company or, as applicable, its subsidiaries or affiliates. Executive agrees that in the event actions of Executive are required to ensure that such rights belong to the Company under applicable laws, Executive will cooperate and take whatever such actions are reasonably requested by the Company, whether during or after the Term, and without the need for separate or additional compensation. “Employee Developments” means any idea, know-how, discovery, invention, design, method, technique, improvement, enhancement, development, computer program, machine, algorithm or other work of authorship, developed or conceived during employment and reduced to practice during or following the period of employment, that: (i) concerns or relates to the actual or anticipated business, research or development activities, or operations of the Company or any of its subsidiaries or affiliates, or (ii) results from or is suggested by any undertaking assigned to Executive or work performed by Executive for or on behalf of the Company or any of its subsidiaries or affiliates, whether created alone or with others, during or after working hours, or</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(iii) uses, incorporates or is based on Company equipment, supplies, facilities, trade secrets or inventions of any form or type. All Confidential Information and all Employee Developments are and shall remain the sole property of the Company or any of its subsidiaries or affiliates. Executive shall acquire no proprietary interest in any Confidential Information or Employee Developments developed or acquired during the Term (other than Executives’ contacts). To the extent Executive may, by operation of law or otherwise, acquire any right, title or interest in or to any Confidential Information or Employee Development (other than Executives’ contacts), Executive hereby assigns and covenants to assign to the Company all such proprietary rights without the need for a separate writing or additional compensation. Executive shall, both during and after the Term, upon the Company’s request, promptly execute, acknowledge, and deliver to the Company all such assignments, confirmations of assignment,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w:t>
      </w:r>
    </w:p>
    <w:p>
      <w:pPr>
        <w:pStyle w:val="TextBody"/>
        <w:bidi w:val="0"/>
        <w:spacing w:lineRule="auto" w:line="288" w:before="79" w:after="283"/>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SURVIVAL OF PROVISIONS</w:t>
      </w:r>
      <w:r>
        <w:rPr>
          <w:rFonts w:ascii="Times New Roman;serif" w:hAnsi="Times New Roman;serif"/>
          <w:b w:val="false"/>
          <w:color w:val="000000"/>
          <w:sz w:val="24"/>
        </w:rPr>
        <w:t>. The obligations contained in this Section 2 shall, to the extent provided in this Section 2, survive the termination or expiration of Executive’s employment with the Company and, as applicable, shall be fully enforceable thereafter in accordance with the terms of this Agreement. If it is determined by a court of competent jurisdiction that any restriction in this Section 2 is excessive in duration or scope or is unreasonable or unenforceable under applicable law, it is the intention of the parties that such restriction may be modified or amended by the court to render it enforceable to the maximum extent permitted by applicable law.</w:t>
      </w:r>
    </w:p>
    <w:p>
      <w:pPr>
        <w:pStyle w:val="TextBody"/>
        <w:bidi w:val="0"/>
        <w:spacing w:lineRule="auto" w:line="288" w:before="240" w:after="283"/>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PRIOR AGREEMENTS</w:t>
      </w:r>
      <w:r>
        <w:rPr>
          <w:rFonts w:ascii="Times New Roman;serif" w:hAnsi="Times New Roman;serif"/>
          <w:b w:val="false"/>
          <w:color w:val="000000"/>
          <w:sz w:val="24"/>
        </w:rPr>
        <w:t>. Except for any agreements between Executive and the Company relating to currently outstanding equity awards as of the date of this Agreement (which remain outstanding), this Agreement (including the Exhibits hereto) constitutes the entire agreement between the parties and, as of the Effective Date, terminates and supersedes any and all prior agreements and understandings (whether written or oral) between the parties with respect to the subject matter of this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40"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ASSIGNMENT; SUCCESSORS</w:t>
      </w:r>
      <w:r>
        <w:rPr>
          <w:rFonts w:ascii="Times New Roman;serif" w:hAnsi="Times New Roman;serif"/>
          <w:b w:val="false"/>
          <w:color w:val="000000"/>
          <w:sz w:val="24"/>
        </w:rPr>
        <w:t xml:space="preserve">. This Agreement is personal in its nature and none of the parties hereto shall, without the consent of the others, assign or transfer this Agreement or any rights or obligations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Company may assign this Agreement to, or allow any of its obligations to be fulfilled by, or take actions through, any affiliates of the Company (which affiliate clearly has sufficient assets to satisfy the Company’s obligations under this Agreement) and in the event of the merger, consolidation, transfer, or sale of all or substantially all of the assets of the Company or similar transaction (a “Transaction”)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in the event of any such assignment or Transaction, all references herein to the “Company” shall refer to the Company’s assignee or successor hereunder.</w:t>
      </w:r>
    </w:p>
    <w:p>
      <w:pPr>
        <w:pStyle w:val="TextBody"/>
        <w:bidi w:val="0"/>
        <w:spacing w:lineRule="auto" w:line="288" w:before="241" w:after="283"/>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shall make such deductions and withhold such amounts from each payment and benefit made or provided to Executive hereunder, as may be required from time to time by applicable law, governmental regulation or order.</w:t>
      </w:r>
    </w:p>
    <w:p>
      <w:pPr>
        <w:pStyle w:val="TextBody"/>
        <w:bidi w:val="0"/>
        <w:spacing w:before="203" w:after="283"/>
        <w:jc w:val="left"/>
        <w:rPr/>
      </w:pPr>
      <w:r>
        <w:rPr/>
      </w:r>
    </w:p>
    <w:p>
      <w:pPr>
        <w:pStyle w:val="TextBody"/>
        <w:bidi w:val="0"/>
        <w:spacing w:lineRule="auto" w:line="288" w:before="1" w:after="283"/>
        <w:ind w:left="0" w:right="0" w:hanging="719"/>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INTERNAL REVENUE CODE</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(a)This Agreement is not intended to constitute a “nonqualified deferred compensation plan” within the meaning of Section 409A of the Internal Revenue Code of 1986, as amended, and the rules and regulations issued thereunder (“Section 409A”). It is intended that any amounts payable under this Agreement and the Company’s and Executive’s exercise of authority or discretion hereunder shall comply with and avoid the imputation of any tax, penalty or interest under Section 409A. This Agreement shall be construed and interpreted consistent with that intent.</w:t>
      </w:r>
    </w:p>
    <w:p>
      <w:pPr>
        <w:pStyle w:val="TextBody"/>
        <w:bidi w:val="0"/>
        <w:spacing w:lineRule="auto" w:line="288" w:before="79"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(b)For purposes of this Agreement, a “Separation from Service” occurs when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(c)If Executive is a “specified employee” within the meaning of Treasury Regulation Section 1.409A-1(i) as of the date of Executive’s Separation from Service, Executive shall not be entitled to any payment or benefit pursuant to Section 1(d) that constitutes nonqualified deferred compensation under Section 409A until the earlier of: (i) the date which is six (6) months after his Separation from Service for any reason other than death, or (ii) the date of Executive’s death. The provisions of this paragraph 6(c) shall only apply if, and to the extent, required to avoid the imputation of any tax, penalty or interest pursuant to Section 409A. Any amounts otherwise payable to Executive upon or in the six (6) month period following Executive’s Separation from Service that are not so paid by reason of this Section 6(c) shall be paid (without interest) as soon as practicable (and in all events within thirty (30) days) after the date that is six (6) months after Executive’s Separation from Service (or, if earlier, as soon as practicable, and in all events within thirty (30) days, after the date of Executive’s death).</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(d)It is intended that any amounts payable under this Agreement (including reimbursements) and the Company’s and Executive’s exercise of authority or discretion hereunder shall comply with and avoid the imputation of any tax, penalty or interest under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41"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Section 409A of the Code. This Agreement shall be construed and interpreted consistent with that intent.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(e)In no event shall the Company be required to pay Executive any “gross up” or other payment with respect to any taxes or penalties imposed under Section 409A with respect to any benefit paid to Executive hereunder. The Company agrees to take any reasonable steps requested by Executive to avoid adverse tax consequences to Executive as a result of any benefit to Executive hereunder being subject to Section 409A, provided that Executive shall, if requested, reimburse the Company for any incremental costs (other than incidental costs) associated with taking such steps. All payments to be made upon a termination of employment under this Agreement may only be made upon a “separation from service” under Section 409A.</w:t>
      </w:r>
    </w:p>
    <w:p>
      <w:pPr>
        <w:pStyle w:val="TextBody"/>
        <w:bidi w:val="0"/>
        <w:spacing w:lineRule="auto" w:line="288" w:before="24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(f)For purposes of Section 409A, Executive’s right to receive any “installment” payments pursuant to this Agreement shall be treated as a right to receive a series of separate and distinct payments.</w:t>
      </w:r>
    </w:p>
    <w:p>
      <w:pPr>
        <w:pStyle w:val="TextBody"/>
        <w:bidi w:val="0"/>
        <w:spacing w:lineRule="auto" w:line="288" w:before="240" w:after="283"/>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HEADING REFERENCES</w:t>
      </w:r>
      <w:r>
        <w:rPr>
          <w:rFonts w:ascii="Times New Roman;serif" w:hAnsi="Times New Roman;serif"/>
          <w:b w:val="false"/>
          <w:color w:val="000000"/>
          <w:sz w:val="24"/>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to which these Terms and Conditions are attached, taken as a whole.</w:t>
      </w:r>
    </w:p>
    <w:p>
      <w:pPr>
        <w:pStyle w:val="TextBody"/>
        <w:bidi w:val="0"/>
        <w:spacing w:lineRule="auto" w:line="288" w:before="240" w:after="283"/>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REMEDIES FOR BREACH</w:t>
      </w:r>
      <w:r>
        <w:rPr>
          <w:rFonts w:ascii="Times New Roman;serif" w:hAnsi="Times New Roman;serif"/>
          <w:b w:val="false"/>
          <w:color w:val="000000"/>
          <w:sz w:val="24"/>
        </w:rPr>
        <w:t>. Executive expressly agrees and understands that the remedy at law for any breach by Executive of Section 2 of these Standard Terms and Conditions will be inadequate and that damages flowing from such breach are not usually susceptible to being measured in monetary terms. Accordingly, it is acknowledged that, upon Executive’s</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violation of any provision of such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in this Agreement shall be deemed to limit the Company’s remedies at law or in equity for any breach by Executive of any of the provisions of this Agreement, including Section 2, which may be pursued by or available to the Company.</w:t>
      </w:r>
    </w:p>
    <w:p>
      <w:pPr>
        <w:pStyle w:val="TextBody"/>
        <w:bidi w:val="0"/>
        <w:spacing w:lineRule="auto" w:line="288" w:before="240" w:after="283"/>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WAIVER; MODIFICATION</w:t>
      </w:r>
      <w:r>
        <w:rPr>
          <w:rFonts w:ascii="Times New Roman;serif" w:hAnsi="Times New Roman;serif"/>
          <w:b w:val="false"/>
          <w:color w:val="000000"/>
          <w:sz w:val="24"/>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pStyle w:val="TextBody"/>
        <w:bidi w:val="0"/>
        <w:spacing w:lineRule="auto" w:line="288" w:before="240" w:after="283"/>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pStyle w:val="TextBody"/>
        <w:bidi w:val="0"/>
        <w:spacing w:lineRule="auto" w:line="288" w:before="240" w:after="283"/>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shall indemnify and hold Executive harmless for acts and omissions in Executive’s capacity as an officer, director or employee of the Company to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42"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the maximum extent permitted under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neither the Company, nor any of its subsidiaries or affiliates shall indemnify Executive for any losses incurred by Executive as a result of acts described in Section 1(c) of these Terms and Conditions. The Company shall also advance, and keep current, Executive’s legal fees and expenses in such matter(s), subject to an undertaking from Executive to repay such advances if it shall be finally determined by a judicial decision that Executive was not entitled to advancement or reimbursement of such fees and expenses.</w:t>
      </w:r>
    </w:p>
    <w:p>
      <w:pPr>
        <w:pStyle w:val="TextBody"/>
        <w:bidi w:val="0"/>
        <w:spacing w:lineRule="auto" w:line="288" w:before="240" w:after="283"/>
        <w:ind w:left="0" w:right="0" w:hanging="719"/>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SECTION 280G; PARACHUTE PAYMENTS</w:t>
      </w:r>
      <w:r>
        <w:rPr>
          <w:rFonts w:ascii="Times New Roman;serif" w:hAnsi="Times New Roman;serif"/>
          <w:b w:val="false"/>
          <w:color w:val="000000"/>
          <w:sz w:val="24"/>
        </w:rPr>
        <w: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(a)</w:t>
      </w:r>
      <w:r>
        <w:rPr>
          <w:rFonts w:ascii="Times New Roman;serif" w:hAnsi="Times New Roman;serif"/>
          <w:b w:val="false"/>
          <w:color w:val="333333"/>
          <w:sz w:val="24"/>
        </w:rPr>
        <w:t>If any payment or benefit Executive will or may receive from the Company or otherwise (a “280G Payment”) would (i) constitute a “parachute payment” within the meaning of Section 280G of the Code, and (ii) but for this sentence, be subject to the excise tax imposed by Section 4999 of the Code (the “Excise Tax”), then any such 280G Payment provided pursuant to this Agreement (a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w:t>
      </w:r>
    </w:p>
    <w:p>
      <w:pPr>
        <w:pStyle w:val="TextBody"/>
        <w:bidi w:val="0"/>
        <w:spacing w:lineRule="auto" w:line="288" w:before="79" w:after="283"/>
        <w:jc w:val="left"/>
        <w:rPr/>
      </w:pPr>
      <w:r>
        <w:rPr>
          <w:rFonts w:ascii="Times New Roman;serif" w:hAnsi="Times New Roman;serif"/>
          <w:b w:val="false"/>
          <w:color w:val="333333"/>
          <w:sz w:val="24"/>
        </w:rPr>
        <w:t>clause (x) of the preceding sentence, the reduction shall occur in the manner (the “</w:t>
      </w:r>
      <w:r>
        <w:rPr>
          <w:rFonts w:ascii="Times New Roman;serif" w:hAnsi="Times New Roman;serif"/>
          <w:b w:val="false"/>
          <w:color w:val="333333"/>
          <w:sz w:val="24"/>
          <w:u w:val="single"/>
        </w:rPr>
        <w:t>Reduction</w:t>
      </w:r>
      <w:r>
        <w:rPr>
          <w:color w:val="333333"/>
        </w:rPr>
        <w:t xml:space="preserve"> </w:t>
      </w:r>
      <w:r>
        <w:rPr>
          <w:rFonts w:ascii="Times New Roman;serif" w:hAnsi="Times New Roman;serif"/>
          <w:b w:val="false"/>
          <w:color w:val="333333"/>
          <w:sz w:val="24"/>
          <w:u w:val="single"/>
        </w:rPr>
        <w:t>Method</w:t>
      </w:r>
      <w:r>
        <w:rPr>
          <w:color w:val="333333"/>
        </w:rPr>
        <w:t>”</w:t>
      </w:r>
      <w:r>
        <w:rPr>
          <w:rFonts w:ascii="Times New Roman;serif" w:hAnsi="Times New Roman;serif"/>
          <w:b w:val="false"/>
          <w:color w:val="333333"/>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val="false"/>
          <w:color w:val="333333"/>
          <w:sz w:val="24"/>
          <w:u w:val="single"/>
        </w:rPr>
        <w:t>Pro Rata Reduction Method</w:t>
      </w:r>
      <w:r>
        <w:rPr>
          <w:color w:val="333333"/>
        </w:rPr>
        <w:t>”</w:t>
      </w:r>
      <w:r>
        <w:rPr>
          <w:rFonts w:ascii="Times New Roman;serif" w:hAnsi="Times New Roman;serif"/>
          <w:b w:val="false"/>
          <w:color w:val="333333"/>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(b)</w:t>
      </w:r>
      <w:r>
        <w:rPr>
          <w:rFonts w:ascii="Times New Roman;serif" w:hAnsi="Times New Roman;serif"/>
          <w:b w:val="false"/>
          <w:color w:val="333333"/>
          <w:sz w:val="24"/>
        </w:rPr>
        <w:t>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w:t>
      </w:r>
      <w:r>
        <w:rPr>
          <w:rFonts w:ascii="Times New Roman;serif" w:hAnsi="Times New Roman;serif"/>
          <w:b w:val="false"/>
          <w:color w:val="333333"/>
          <w:sz w:val="24"/>
        </w:rPr>
        <w:t xml:space="preserve">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 The Company shall bear all expenses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43"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333333"/>
          <w:sz w:val="24"/>
        </w:rPr>
        <w:t>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15 calendar days after the date on which Executive’s right to a 280G Payment becomes reasonably likely to occur (if requested at that time by Executive or the Company) or such other time as requested by Executive or the Company</w:t>
      </w:r>
      <w:r>
        <w:rPr>
          <w:rFonts w:ascii="Times New Roman;serif" w:hAnsi="Times New Roman;serif"/>
          <w:b w:val="false"/>
          <w:color w:val="000000"/>
          <w:sz w:val="24"/>
        </w:rPr>
        <w:t>.</w:t>
      </w:r>
    </w:p>
    <w:p>
      <w:pPr>
        <w:pStyle w:val="TextBody"/>
        <w:bidi w:val="0"/>
        <w:spacing w:lineRule="auto" w:line="288" w:before="241" w:after="283"/>
        <w:jc w:val="center"/>
        <w:rPr>
          <w:rFonts w:ascii="Times New Roman;serif" w:hAnsi="Times New Roman;serif"/>
          <w:b w:val="false"/>
          <w:color w:val="000000"/>
          <w:sz w:val="24"/>
        </w:rPr>
      </w:pPr>
      <w:r>
        <w:rPr>
          <w:rFonts w:ascii="Times New Roman;serif" w:hAnsi="Times New Roman;serif"/>
          <w:b w:val="false"/>
          <w:color w:val="000000"/>
          <w:sz w:val="24"/>
        </w:rPr>
        <w:t>[The Signature Page Follows]</w:t>
      </w:r>
    </w:p>
    <w:p>
      <w:pPr>
        <w:pStyle w:val="TextBody"/>
        <w:bidi w:val="0"/>
        <w:spacing w:before="0" w:after="0"/>
        <w:jc w:val="center"/>
        <w:rPr/>
      </w:pPr>
      <w:r>
        <w:rPr/>
      </w:r>
    </w:p>
    <w:p>
      <w:pPr>
        <w:pStyle w:val="TextBody"/>
        <w:bidi w:val="0"/>
        <w:spacing w:before="7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44"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ACKNOWLEDGED AND AGREED (the date(s) noted next to their respective signatures below):</w:t>
      </w:r>
    </w:p>
    <w:p>
      <w:pPr>
        <w:pStyle w:val="TextBody"/>
        <w:bidi w:val="0"/>
        <w:spacing w:before="79" w:after="283"/>
        <w:jc w:val="left"/>
        <w:rPr/>
      </w:pPr>
      <w:r>
        <w:rPr/>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PEOPLE INCORPORATED (F/K/A IAC INC.)</w:t>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Barry Diller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Barry Diller</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 and Senior Executive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August 3, 2026</w:t>
      </w:r>
    </w:p>
    <w:p>
      <w:pPr>
        <w:pStyle w:val="TextBody"/>
        <w:bidi w:val="0"/>
        <w:spacing w:before="79" w:after="283"/>
        <w:jc w:val="left"/>
        <w:rPr/>
      </w:pPr>
      <w:r>
        <w:rPr/>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before="79" w:after="283"/>
        <w:jc w:val="left"/>
        <w:rPr/>
      </w:pPr>
      <w:r>
        <w:rPr/>
      </w:r>
    </w:p>
    <w:p>
      <w:pPr>
        <w:pStyle w:val="TextBody"/>
        <w:bidi w:val="0"/>
        <w:spacing w:before="79" w:after="283"/>
        <w:jc w:val="left"/>
        <w:rPr/>
      </w:pPr>
      <w:r>
        <w:rPr/>
      </w:r>
    </w:p>
    <w:p>
      <w:pPr>
        <w:pStyle w:val="TextBody"/>
        <w:bidi w:val="0"/>
        <w:spacing w:lineRule="auto" w:line="288" w:before="79"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Timothy Quinn </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Timothy Quinn</w:t>
      </w:r>
    </w:p>
    <w:p>
      <w:pPr>
        <w:pStyle w:val="TextBody"/>
        <w:bidi w:val="0"/>
        <w:spacing w:before="79" w:after="283"/>
        <w:jc w:val="left"/>
        <w:rPr/>
      </w:pPr>
      <w:r>
        <w:rPr/>
      </w:r>
    </w:p>
    <w:p>
      <w:pPr>
        <w:pStyle w:val="TextBody"/>
        <w:bidi w:val="0"/>
        <w:spacing w:before="79" w:after="283"/>
        <w:jc w:val="left"/>
        <w:rPr/>
      </w:pPr>
      <w:r>
        <w:rPr/>
      </w:r>
    </w:p>
    <w:p>
      <w:pPr>
        <w:pStyle w:val="TextBody"/>
        <w:bidi w:val="0"/>
        <w:spacing w:before="7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45"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ADDRESS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NAME: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good and valuable consideration, the receipt and sufficiency of which are hereby acknowledged, People Incorporated (f/k/a IAC Inc.) (the “Company”) and you hereby agree to the severance of your employment with the Company upon the following terms and conditions of this agreement (this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1.Effective as of DATE (the “End Date”), you are hereby terminated from your employment as Chief Financial Officer, and from any and all other positions you occupy as an officer, director, or employee of the Company or any subsidiary or affiliate of the Company, and each such employment relationship between the Company or any subsidiary or affiliate of the Company and you is hereby terminated in all respects, except as expressly provided herein. The End Date shall be the date of termination of your employment for purposes of participation in and coverage under all benefit plans and programs sponsored by or through the Company, except as otherwise provided herein or under the terms of the benefit plans, or as required by law.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2.(a) In exchange for the general release in paragraph 9 below and other promises contained herein, you are entitled to the rights and benefits set forth in Section 1(d) of the Standard Terms and Conditions of the Employment Agreement, by and between you and the Company, dated [DATE], 2026 (the “Employment Agreement”). All such payments and benefits will be subject to all applicable tax withholdings and other payroll deductions.</w:t>
      </w:r>
    </w:p>
    <w:p>
      <w:pPr>
        <w:pStyle w:val="TextBody"/>
        <w:bidi w:val="0"/>
        <w:spacing w:before="0" w:after="0"/>
        <w:jc w:val="left"/>
        <w:rPr/>
      </w:pPr>
      <w:r>
        <w:rPr/>
      </w:r>
    </w:p>
    <w:p>
      <w:pPr>
        <w:pStyle w:val="TextBody"/>
        <w:bidi w:val="0"/>
        <w:spacing w:lineRule="auto" w:line="288" w:before="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(b)You hereby agree and acknowledge that the payments and/or benefits provided in paragraph 2(a) exceed any payments, benefits, or other things of value to which you might otherwise be entitled under any policy, plan, or procedure of the Company or any of its subsidiaries or affiliates or pursuant to any prior agreement or contract with the Company or any of its subsidiaries or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3.To the extent the Company will be making any payment to you on or after the End Date, the Company shall have the right to deduct from such payments any personal account balances or other amounts due by you to the Company or any subsidiary or affiliate of the Company.</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4.As of the End Date, you are entitled to your vested account balance, if any, in the Company’s Retirement Savings Plan, subject to the terms and conditions of such plan. The Company will provide you with a summary of the procedures for all such benefits to be transferred, if you so choose, to a new or existing individual retirement account established by</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46"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you. You are also entitled to your vested account balance, if any, in the Company’s Executive Deferred Compensation Plan, subject to the terms and conditions of such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5.Your short-term and long-term disability insurance coverage provided by the Company ends on the End Date. Long-term disability insurance, to the extent you currently participate in that plan, may be converted to an individual plan (and information about that option will be forwarded to you under separate cover).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6.Your coverage under the Company’s Health and Welfare Benefits Plan, to the extent you currently participate in that plan, will end on the last day of the calendar month of the End Date, </w:t>
      </w:r>
      <w:r>
        <w:rPr>
          <w:rFonts w:ascii="Times New Roman;serif" w:hAnsi="Times New Roman;serif"/>
          <w:b w:val="false"/>
          <w:i/>
          <w:color w:val="000000"/>
          <w:sz w:val="24"/>
        </w:rPr>
        <w:t>i.e.</w:t>
      </w:r>
      <w:r>
        <w:rPr>
          <w:rFonts w:ascii="Times New Roman;serif" w:hAnsi="Times New Roman;serif"/>
          <w:b w:val="false"/>
          <w:color w:val="000000"/>
          <w:sz w:val="24"/>
        </w:rPr>
        <w:t>, END DATE. If you wish to continue your participation and that of your eligible dependents in the Company's group health, dental, vision, and/or flexible spending account plans after the coverage ends, you may do so under applicable federal law (i.e., “COBRA”) by calling COBRA Services at 866-365-2413. All Group Life and Accidental Death and Dismemberment Insurance, to the extent you currently participate in those plans, may be converted to individual plans (and information about those options will be forwarded to you under separate cover).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7.To the extent provided therein, your obligations under any company policy to which you were subject during your employment and which survive termination of your employment shall survive the severance of your employment provided for herein.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8.During your employment at the Company and/or any of its subsidiaries or affiliates, you may have been granted stock options and/or restricted stock units and/or restricted stock by the Company or such subsidiary or affiliate. All terms and conditions of each applicable stock option agreement or restricted stock unit agreement or restricted stock agreement or stock appreciation right award, and the terms and conditions of the applicable plan corresponding thereto (collectively, the “Equity Agreements”), including the forfeiture provisions thereof (as may be modified by the Employment Agreement), shall remain unchanged and in full force and effect. </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9.(a)    For and in consideration of the payments provided for and promises made by the Company herein and other good and valuable consideration, you and your heirs, executors, administrators, trustees, legal representatives, and assigns (collectively, the “Releasors”) hereby waive, release, and forever discharge the Company and its subsidiaries and affiliates, and its and their respective divisions, branches, predecessors, successors, assigns, and past or present directors, officers, employees, agents, partners, members, stockholders, representatives, attorneys, consultants, independent contractors, trustees, administrators, insurers, and fiduciaries, in their individual and representative capacities (collectively, the “Releasees”), of and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related to your employment with or severance from the Company, including without</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limitation with respect to wrongful or tortious termination, constructive discharge, breach of implied or express employment contracts and/or estoppel, discrimination and/or retaliation, libel, slander, the amount, valuation, exercise, determination, correctness, adequacy or non-payment of wages or other compensation, including grants of stock options, stock appreciation rights or any other equity compensation, in each case under any federal, state, or local laws, statutes, rules, or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47"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regulations of any type or description, including without limitation under Title VII of the Civil Rights Act of 1964; the Civil Rights Act of 1991; the Age Discrimination in Employment Act; the Rehabilitation Act; the National Labor Relations Act; the Fair Labor Standards Act; the Americans With Disabilities Act; the Family Medical Leave Act; the Employee Retirement Income Security Act; the Reconstruction Era Civil Rights Act; the New York State Executive Law, and the New York City Human Rights Law, each as amended, and any other claim of discrimination, harassment, or retaliation in employment (whether based on federal, state, or local law, statutory or decisional), which the Releasors or any of them ever had, now have, or hereafter shall or may have against the Releasees or any of them for, upon, or by reason of any matter, cause, or thing whatsoever from the beginning of the world to the date that you sign this Agreement. Without limiting the generality of the foregoing, except as expressly set forth in this Agreement, the Releasors expressly waive any right or claim for reinstatement of employment, back pay, interest, bonuses, damages, accrued vacation, accrued sick leave, medical, dental, optical, or hospitalization benefits, accidental death and dismemberment coverage, long-term disability coverage, stock or other interests in the Company or any subsidiary or affiliate thereof, life insurance benefits, overtime, severance pay, and/or attorneys’ fees or costs with respect to or derivative of such employment with the Company or the severance thereof.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(b)You acknowledge and agree that by virtue of the foregoing, you have waived any relief available to you (including without limitation monetary damages, equitable relief, and reinstatement) under any of the claims and/or causes of action waived in paragraph 9. You therefore agree that you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paragraph 9, you do not release, waive, or discharge the Company from (i) any claims to seek to enforce this Agreement, (ii) any claims for indemnification, advancement of expenses or contribution with respect to any liability incurred by you as a director or officer of the Company or (iii) any rights as a stockholder or with respect to vested equity awards in respect of Company common stock.</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(c)For the purpose of implementing a full and complete release and discharge of the Releasees, you acknowledge that this Agreement is intended to include in its effect, without limitation, all claims or other matters described in this paragraph 9 that neither party knows or suspects to exist in your favor at the time of execution hereof, and that this Agreement contemplates the extinguishment of any and all such claims or other such matters. The Releasees who are not a party to this Agreement are third-party beneficiaries of this Agreement and are entitled to enforce its provisions.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(d)This release contained in this paragraph 9 specifically excludes (i) any claims arising with respect to events occurring after the Effective Date of this Agreement, (ii) your rights and the Company’s obligations under Section 1(d) of the Standard Terms and Conditions of the Employment Agreement and (ii) the right to indemnification and/or advancement you have or may have under Section 11 of the Standard Terms and Conditions of the Employment</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Agreement, the by-laws and/or certificate of incorporation of the Company or any of its subsidiaries or affiliates or as an insured under any director’s and officer’s liability insurance policy now or previously in force and (iv) any rights with respect to vested equity awards in respect of Company common stock or as a stockholder. Nothing contained in this Release shall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48"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release you from your obligations, including any obligations to abide by restrictive covenants, under the Employment Agreement that continue or are to be performed following termination of employment.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10.(a)    You agree that you will preserve the confidentiality of this Agreement and not discuss or disclose its existence, substance, or contents to anyone and that you will not make any statements to third parties about the circumstances of the termination of your employment, in each case except as required by law; provided, however, that you may disclose the existence, substance, and contents of this Agreement to your immediate family and household members, and to your legal and financial advisors who need to know such information, so long as they have been advised by you of the confidentiality of such information and have agreed to maintain its confidentiality.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Company hereby informs you that, 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your rights under the whistleblower provisions of any applicable federal law or regulation or, for the avoidance of doubt, limit your right to receive an award for information provided to any government authority under such law or regulation.</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11.You represent that you do not have in your possession or custody, and have not failed to return to the Company, all property belonging to the Company, including but not limited to laptop computer, cell phone, keys, access cards for buildings and office floors, and confidential business information and documents.</w:t>
      </w:r>
    </w:p>
    <w:p>
      <w:pPr>
        <w:pStyle w:val="TextBody"/>
        <w:bidi w:val="0"/>
        <w:spacing w:lineRule="auto" w:line="288" w:before="276"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12.This Agreement and all matters or issues related hereto shall be governed by the laws of the State of New York applicable to contracts entered into and performed therein (without reference to its principles of conflicts of laws). The Company and you hereby submit to the jurisdiction of all state courts in the State of New York sitting in New York County, and of the United States District Court for the Southern District of New York, for the purposes of the enforcement of this Agreement. The parties acknowledge that such courts have jurisdiction to interpret and enforce the provisions of this Agreement, and the parties consent to, and waive any and all objections that they may have as to, personal jurisdiction and/or venue in such courts.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13.(a)    This Agreement is binding upon, and shall inure to the benefit of, the parties and their respective heirs, executors, administrators, successors, and assigns.</w:t>
      </w:r>
    </w:p>
    <w:p>
      <w:pPr>
        <w:pStyle w:val="TextBody"/>
        <w:bidi w:val="0"/>
        <w:spacing w:lineRule="auto" w:line="288" w:before="75"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(b)This Agreement is not intended, and shall not be construed, as an admission that any of the Releasees has violated any federal, state, or local law (statutory or decisional), ordinance, or regulation, breached any contract, or committed any wrong whatsoever against you or anyone else.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(c)Except for the Equity Agreements, if any, this Agreement contains the entire understanding of the parties hereto relating to the subject matter of this Agreement and supersedes any and all prior agreements or understandings between the parties hereto with respect thereto, and can be changed only by a writing signed by all parties hereto. No waiver shall be effective against any party unless in writing and signed by the party against whom such waiver shall be enforced.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14.All notices and other communications hereunder shall be deemed to be sufficient if in writing and delivered in person or by a nationally recognized courier service, addressed, if to you, to the address set forth above; and if to the Company,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General Counsel People Incorporated (f/k/a IAC Inc.)</w:t>
      </w:r>
    </w:p>
    <w:p>
      <w:pPr>
        <w:pStyle w:val="TextBody"/>
        <w:bidi w:val="0"/>
        <w:spacing w:lineRule="auto" w:line="288" w:before="0" w:after="0"/>
        <w:jc w:val="left"/>
        <w:rPr/>
      </w:pPr>
      <w:r>
        <w:rPr>
          <w:rFonts w:ascii="Times New Roman;serif" w:hAnsi="Times New Roman;serif"/>
          <w:b w:val="false"/>
          <w:color w:val="000000"/>
          <w:sz w:val="24"/>
        </w:rPr>
        <w:t>555 West 18th Street, 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York, New York 10011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you or the Company may have furnished to the other party in writing. Each notice delivered in person or by overnight courier shall be deemed given when delivered or when delivery is attempted and refused.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15.In case any provision contained in this Agreement shall for any reason be held to be invalid, illegal, or unenforceable in any respect by any court or administrative body with competent jurisdiction, such invalidity, illegality, or unenforceability shall not affect the remaining provisions hereof, which shall remain in full force and effect. Any provision so determined to be invalid, illegal, or unenforceable shall be reformed so that it is valid, legal, and enforceable to the fullest extent permitted by law; or, if such reformation is impossible, then this Agreement shall be construed as if such invalid, illegal, or unenforceable provision had never been contained herein; provided that, upon any finding by a court of competent jurisdiction that this Agreement is illegal and/or unenforceable, you hereby agree to execute and deliver an agreement in substantially the same form as this Agreement, modified to the extent necessary so as to constitute a legal and enforceable agreement. Additionally, you agree that any breach by you of paragraphs 9, 10, and/or 11 shall constitute a material breach of this Agreement as to which the applicable Releasees may seek all relief available under the law.</w:t>
      </w:r>
    </w:p>
    <w:p>
      <w:pPr>
        <w:pStyle w:val="TextBody"/>
        <w:bidi w:val="0"/>
        <w:spacing w:before="1"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16.This Agreement may be executed in two or more counterparts, all of which shall be considered one and the same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17.You acknowledge and agree that, in deciding whether to execute this Agreement, you have read this Agreement and have had at least twenty-one (21) days to consider its terms</w: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and effects and to ask any questions that you may have of anyone, and that you have executed this Agreement voluntarily and with full understanding of its terms and its effects on you, and that no fact, evidence, event, or transaction currently unknown to you but which may later become known to you will affect in any way or manner the final and unconditional nature of this Agreement. You further acknowledge that: (a) the release provided for herein is granted in exchange for the receipt of consideration that exceeds the amount to which you would otherwise be entitled upon termination of your employment; (b) the waiver of rights under this Agreement is knowing and voluntary as required under the Older Workers Benefit Protection Act; (c) you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are hereby advised by the Company in writing to consult with an attorney, tax, and/or financial advisor of your choice before signing this Agreement, and that the Company has not provided to you any legal, tax, or financial advice in connection with the same; and (d) you have had answered to your satisfaction any questions you have asked with regard to the meaning and significance of any terms or provisions of this Agreement. After signing this Agreement, you shall have seven (7) days (the “Revocation Period”) to revoke your decision by delivering to the Company at the above address a notarized written notice of your desire to revoke the Agreement by no later than the last day of the Revocation Period. This Agreement shall become effective automatically upon the expiration of the Revocation Period if you do not revoke it in the aforesaid manner (the “Effective Date”). If the last day of the Revocation Period falls on a Saturday, Sunday, or legal holiday, the last day of the Revocation Period will be deemed to be the next business day. In the event that you do not accept this Agreement as set forth above, or in the event that you revoke this Agreement in the manner set forth above, the obligation of the Company to provide the payments and/or benefits described in paragraph 2(a) of this Agreement shall immediately become null and void.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SIGNING THIS AGREEMENT, YOU STATE THAT:</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(a)YOU HAVE READ THIS AGREEMENT AND HAVE HAD SUFFICIENT TIME TO CONSIDER ITS TERMS;</w:t>
      </w:r>
    </w:p>
    <w:p>
      <w:pPr>
        <w:pStyle w:val="TextBody"/>
        <w:bidi w:val="0"/>
        <w:spacing w:before="0" w:after="0"/>
        <w:jc w:val="left"/>
        <w:rPr/>
      </w:pPr>
      <w:r>
        <w:rPr/>
      </w:r>
    </w:p>
    <w:p>
      <w:pPr>
        <w:pStyle w:val="TextBody"/>
        <w:bidi w:val="0"/>
        <w:spacing w:lineRule="auto" w:line="288" w:before="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(b)YOU UNDERSTAND ALL OF THE TERMS AND CONDITIONS OF THIS AGREEMENT AND KNOW THAT YOU ARE GIVING UP IMPORTANT RIGHTS;</w:t>
      </w:r>
    </w:p>
    <w:p>
      <w:pPr>
        <w:pStyle w:val="TextBody"/>
        <w:bidi w:val="0"/>
        <w:spacing w:lineRule="auto" w:line="288" w:before="276" w:after="283"/>
        <w:ind w:left="0" w:right="0" w:hanging="923"/>
        <w:jc w:val="left"/>
        <w:rPr>
          <w:rFonts w:ascii="Times New Roman;serif" w:hAnsi="Times New Roman;serif"/>
          <w:b w:val="false"/>
          <w:color w:val="000000"/>
          <w:sz w:val="24"/>
        </w:rPr>
      </w:pPr>
      <w:r>
        <w:rPr>
          <w:rFonts w:ascii="Times New Roman;serif" w:hAnsi="Times New Roman;serif"/>
          <w:b w:val="false"/>
          <w:color w:val="000000"/>
          <w:sz w:val="24"/>
        </w:rPr>
        <w:t>(c)YOU AGREE WITH EVERYTHING IN THIS AGREEMENT;</w:t>
      </w:r>
    </w:p>
    <w:p>
      <w:pPr>
        <w:pStyle w:val="TextBody"/>
        <w:bidi w:val="0"/>
        <w:spacing w:lineRule="auto" w:line="288" w:before="27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(d)YOU ARE AWARE OF YOUR RIGHT TO CONSULT WITH AN ATTORNEY BEFORE SIGNING THIS AGREEMENT, HAVE BEEN ADVISED OF SUCH RIGHT, AND HAD SUFFICIENT TIME TO CONSULT WITH AN ATTORNEY;</w:t>
      </w:r>
    </w:p>
    <w:p>
      <w:pPr>
        <w:pStyle w:val="TextBody"/>
        <w:bidi w:val="0"/>
        <w:spacing w:lineRule="auto" w:line="288" w:before="27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(e)YOU HAVE SIGNED THIS AGREEMENT KNOWINGLY AND VOLUNTARILY; AND</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(f)THIS AGREEMENT INCLUDES A RELEASE BY YOU OF ALL KNOWN AND UNKNOWN CLAIMS AS DESCRIBED IN THIS AGREEMENT.</w:t>
      </w:r>
    </w:p>
    <w:p>
      <w:pPr>
        <w:pStyle w:val="TextBody"/>
        <w:bidi w:val="0"/>
        <w:spacing w:lineRule="auto" w:line="288" w:before="79"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foregoing correctly sets forth our mutual understanding, please sign on the next page and have notarized one copy of this Agreement and return it to the undersigned after the End Date, whereupon this letter shall constitute a binding agreement between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People Incorporated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SIGNER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SIGNER 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NAME, acknowledge that I have been given at least twenty-one (21) days from the date of this Agreement to consider the terms contained herein and that I have seven (7) days after signing this Agreement in which to rescind my acceptance hereof. I also acknowledge that I have been advised to consult with a lawyer prior to signing this Agreement. I knowingly and voluntarily agree to and accept the terms outlined in this Agreement without reservation and fully understand all of its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9" w:after="283"/>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On this </w:t>
      </w:r>
      <w:r>
        <w:rPr>
          <w:color w:val="000000"/>
          <w:u w:val="single"/>
        </w:rPr>
        <w:t>    </w:t>
      </w:r>
      <w:r>
        <w:rPr>
          <w:rFonts w:ascii="Times New Roman;serif" w:hAnsi="Times New Roman;serif"/>
          <w:b w:val="false"/>
          <w:color w:val="000000"/>
          <w:sz w:val="24"/>
        </w:rPr>
        <w:t xml:space="preserve">day of </w:t>
      </w:r>
      <w:r>
        <w:rPr>
          <w:color w:val="000000"/>
          <w:u w:val="single"/>
        </w:rPr>
        <w:t>    </w:t>
      </w:r>
      <w:r>
        <w:rPr>
          <w:color w:val="000000"/>
        </w:rPr>
        <w:t xml:space="preserve"> </w:t>
      </w:r>
      <w:r>
        <w:rPr>
          <w:rFonts w:ascii="Times New Roman;serif" w:hAnsi="Times New Roman;serif"/>
          <w:b w:val="false"/>
          <w:color w:val="000000"/>
          <w:sz w:val="24"/>
        </w:rPr>
        <w:t>20</w:t>
      </w:r>
      <w:r>
        <w:rPr>
          <w:color w:val="000000"/>
          <w:u w:val="single"/>
        </w:rPr>
        <w:t xml:space="preserve"> </w:t>
      </w:r>
      <w:r>
        <w:rPr>
          <w:rFonts w:ascii="Times New Roman;serif" w:hAnsi="Times New Roman;serif"/>
          <w:b w:val="false"/>
          <w:color w:val="000000"/>
          <w:sz w:val="24"/>
        </w:rPr>
        <w:t>, before me personally came NAME to me known and known to me to be the person described in and who executed this Agreement, and she duly acknowledged to me that she executed the same.</w:t>
      </w:r>
    </w:p>
    <w:p>
      <w:pPr>
        <w:pStyle w:val="TextBody"/>
        <w:bidi w:val="0"/>
        <w:spacing w:before="0" w:after="0"/>
        <w:jc w:val="left"/>
        <w:rPr/>
      </w:pPr>
      <w:r>
        <w:rPr/>
      </w:r>
    </w:p>
    <w:p>
      <w:pPr>
        <w:pStyle w:val="TextBody"/>
        <w:bidi w:val="0"/>
        <w:spacing w:before="63" w:after="283"/>
        <w:jc w:val="left"/>
        <w:rPr/>
      </w:pPr>
      <w:r>
        <w:rPr/>
      </w:r>
    </w:p>
    <w:p>
      <w:pPr>
        <w:pStyle w:val="TextBody"/>
        <w:bidi w:val="0"/>
        <w:spacing w:lineRule="auto" w:line="288" w:before="109" w:after="283"/>
        <w:jc w:val="left"/>
        <w:rPr>
          <w:color w:val="000000"/>
          <w:u w:val="single"/>
        </w:rPr>
      </w:pPr>
      <w:r>
        <w:rPr>
          <w:color w:val="000000"/>
          <w:u w:val="single"/>
        </w:rPr>
        <w:t>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Notary Public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 of 21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52"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before="240" w:after="240"/>
        <w:jc w:val="center"/>
        <w:rPr/>
      </w:pPr>
      <w:r>
        <w:rPr/>
        <w:drawing>
          <wp:inline distT="0" distB="0" distL="0" distR="0">
            <wp:extent cx="1133475" cy="381000"/>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2"/>
                    <a:stretch>
                      <a:fillRect/>
                    </a:stretch>
                  </pic:blipFill>
                  <pic:spPr bwMode="auto">
                    <a:xfrm>
                      <a:off x="0" y="0"/>
                      <a:ext cx="1133475" cy="381000"/>
                    </a:xfrm>
                    <a:prstGeom prst="rect">
                      <a:avLst/>
                    </a:prstGeom>
                  </pic:spPr>
                </pic:pic>
              </a:graphicData>
            </a:graphic>
          </wp:inline>
        </w:drawing>
      </w:r>
    </w:p>
    <w:p>
      <w:pPr>
        <w:pStyle w:val="TextBody"/>
        <w:bidi w:val="0"/>
        <w:spacing w:lineRule="auto" w:line="288" w:before="0" w:after="80"/>
        <w:jc w:val="center"/>
        <w:rPr>
          <w:rFonts w:ascii="Times New Roman;serif" w:hAnsi="Times New Roman;serif"/>
          <w:b w:val="false"/>
          <w:color w:val="000000"/>
          <w:sz w:val="21"/>
        </w:rPr>
      </w:pPr>
      <w:r>
        <w:rPr>
          <w:rFonts w:ascii="Times New Roman;serif" w:hAnsi="Times New Roman;serif"/>
          <w:b w:val="false"/>
          <w:color w:val="000000"/>
          <w:sz w:val="21"/>
        </w:rPr>
        <w:t>PEOPLE INCORPORATED REPORTS Q2 2026</w:t>
      </w:r>
    </w:p>
    <w:p>
      <w:pPr>
        <w:pStyle w:val="TextBody"/>
        <w:bidi w:val="0"/>
        <w:spacing w:before="0" w:after="80"/>
        <w:jc w:val="center"/>
        <w:rPr/>
      </w:pPr>
      <w:r>
        <w:rPr/>
      </w:r>
    </w:p>
    <w:p>
      <w:pPr>
        <w:pStyle w:val="TextBody"/>
        <w:bidi w:val="0"/>
        <w:spacing w:lineRule="auto" w:line="276" w:before="0" w:after="0"/>
        <w:ind w:left="0" w:right="0" w:hanging="450"/>
        <w:jc w:val="left"/>
        <w:rPr/>
      </w:pPr>
      <w:r>
        <w:rPr>
          <w:color w:val="000000"/>
        </w:rPr>
        <w:t>•</w:t>
      </w:r>
      <w:r>
        <w:rPr>
          <w:rFonts w:ascii="Times New Roman;serif" w:hAnsi="Times New Roman;serif"/>
          <w:b w:val="false"/>
          <w:i/>
          <w:color w:val="000000"/>
          <w:sz w:val="21"/>
        </w:rPr>
        <w:t xml:space="preserve">People Inc. drove its 11th consecutive quarter of Digital growth with Q2 Digital revenue increasing 6% to $290 million; People Inc. total operating income of $34 million and Adjusted EBITDA of $73 million with expanding Digital margins </w:t>
      </w:r>
    </w:p>
    <w:p>
      <w:pPr>
        <w:pStyle w:val="TextBody"/>
        <w:bidi w:val="0"/>
        <w:spacing w:lineRule="auto" w:line="276" w:before="0" w:after="0"/>
        <w:ind w:left="0" w:right="0" w:hanging="450"/>
        <w:jc w:val="left"/>
        <w:rPr/>
      </w:pPr>
      <w:r>
        <w:rPr>
          <w:color w:val="000000"/>
        </w:rPr>
        <w:t>•</w:t>
      </w:r>
      <w:r>
        <w:rPr>
          <w:rFonts w:ascii="Times New Roman;serif" w:hAnsi="Times New Roman;serif"/>
          <w:b w:val="false"/>
          <w:i/>
          <w:color w:val="000000"/>
          <w:sz w:val="21"/>
        </w:rPr>
        <w:t>Board of Directors approved an authorization to repurchase an additional 10 million shares of People Incorporated’s (“the Company”) common stock</w:t>
      </w:r>
    </w:p>
    <w:p>
      <w:pPr>
        <w:pStyle w:val="TextBody"/>
        <w:bidi w:val="0"/>
        <w:spacing w:lineRule="auto" w:line="276" w:before="0" w:after="0"/>
        <w:ind w:left="0" w:right="0" w:hanging="450"/>
        <w:jc w:val="left"/>
        <w:rPr/>
      </w:pPr>
      <w:r>
        <w:rPr>
          <w:color w:val="000000"/>
        </w:rPr>
        <w:t>•</w:t>
      </w:r>
      <w:r>
        <w:rPr>
          <w:rFonts w:ascii="Times New Roman;serif" w:hAnsi="Times New Roman;serif"/>
          <w:b w:val="false"/>
          <w:i/>
          <w:color w:val="000000"/>
          <w:sz w:val="21"/>
        </w:rPr>
        <w:t>The Company entered into agreement to sell its Limited Partner stake in a third party fund for approximately $189 million in aggregate</w:t>
      </w:r>
    </w:p>
    <w:p>
      <w:pPr>
        <w:pStyle w:val="TextBody"/>
        <w:bidi w:val="0"/>
        <w:spacing w:lineRule="auto" w:line="268" w:before="0" w:after="0"/>
        <w:ind w:left="0" w:right="0" w:hanging="450"/>
        <w:jc w:val="left"/>
        <w:rPr/>
      </w:pPr>
      <w:r>
        <w:rPr>
          <w:color w:val="000000"/>
        </w:rPr>
        <w:t>•</w:t>
      </w:r>
      <w:r>
        <w:rPr>
          <w:rFonts w:ascii="Times New Roman;serif" w:hAnsi="Times New Roman;serif"/>
          <w:b w:val="false"/>
          <w:i/>
          <w:color w:val="000000"/>
          <w:sz w:val="21"/>
        </w:rPr>
        <w:t>The Company revised its definition of Adjusted EBITDA in Q2 2026 with prior periods recast for conformity</w:t>
      </w:r>
    </w:p>
    <w:p>
      <w:pPr>
        <w:pStyle w:val="TextBody"/>
        <w:bidi w:val="0"/>
        <w:spacing w:lineRule="auto" w:line="276" w:before="0" w:after="0"/>
        <w:ind w:left="0" w:right="0" w:hanging="450"/>
        <w:jc w:val="left"/>
        <w:rPr/>
      </w:pPr>
      <w:r>
        <w:rPr>
          <w:color w:val="000000"/>
        </w:rPr>
        <w:t>•</w:t>
      </w:r>
      <w:r>
        <w:rPr>
          <w:rFonts w:ascii="Times New Roman;serif" w:hAnsi="Times New Roman;serif"/>
          <w:b w:val="false"/>
          <w:i/>
          <w:color w:val="000000"/>
          <w:sz w:val="21"/>
        </w:rPr>
        <w:t>The Company to complete leadership transition, appointing Neil Vogel as Chief Executive Officer and Timothy Quinn as Chief Financial Officer, effective August 5, 2026; Barry Diller continues as Chairman and Senior Executive</w:t>
      </w:r>
    </w:p>
    <w:p>
      <w:pPr>
        <w:pStyle w:val="TextBody"/>
        <w:bidi w:val="0"/>
        <w:spacing w:lineRule="auto" w:line="276" w:before="0" w:after="0"/>
        <w:ind w:left="0" w:right="0" w:hanging="450"/>
        <w:jc w:val="left"/>
        <w:rPr/>
      </w:pPr>
      <w:r>
        <w:rPr>
          <w:color w:val="000000"/>
        </w:rPr>
        <w:t>•</w:t>
      </w:r>
      <w:r>
        <w:rPr>
          <w:rFonts w:ascii="Times New Roman;serif" w:hAnsi="Times New Roman;serif"/>
          <w:b w:val="false"/>
          <w:i/>
          <w:color w:val="000000"/>
          <w:sz w:val="21"/>
        </w:rPr>
        <w:t xml:space="preserve">The Company’s consolidation of its corporate functions with People Inc. remains on track with estimated Corporate annual run-rate operating expense of approximately $45 million and annual stock-based compensation expense of approximately $30 million following consolidation completion in Q1 2027 </w:t>
      </w:r>
    </w:p>
    <w:p>
      <w:pPr>
        <w:pStyle w:val="TextBody"/>
        <w:bidi w:val="0"/>
        <w:spacing w:lineRule="auto" w:line="276" w:before="0" w:after="0"/>
        <w:ind w:left="0" w:right="0" w:hanging="450"/>
        <w:jc w:val="left"/>
        <w:rPr/>
      </w:pPr>
      <w:r>
        <w:rPr>
          <w:color w:val="000000"/>
        </w:rPr>
        <w:t>•</w:t>
      </w:r>
      <w:r>
        <w:rPr>
          <w:rFonts w:ascii="Times New Roman;serif" w:hAnsi="Times New Roman;serif"/>
          <w:b w:val="false"/>
          <w:i/>
          <w:color w:val="000000"/>
          <w:sz w:val="21"/>
        </w:rPr>
        <w:t xml:space="preserve">The Company’s Q2 2026 operating loss was $14 million and Adjusted EBITDA increased 15% to $56 million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80"/>
        <w:jc w:val="center"/>
        <w:rPr/>
      </w:pPr>
      <w:r>
        <w:rPr/>
      </w:r>
    </w:p>
    <w:p>
      <w:pPr>
        <w:pStyle w:val="TextBody"/>
        <w:bidi w:val="0"/>
        <w:spacing w:lineRule="auto" w:line="288" w:before="0" w:after="160"/>
        <w:jc w:val="both"/>
        <w:rPr/>
      </w:pPr>
      <w:r>
        <w:rPr>
          <w:rFonts w:ascii="Times New Roman;serif" w:hAnsi="Times New Roman;serif"/>
          <w:b w:val="false"/>
          <w:color w:val="000000"/>
          <w:sz w:val="21"/>
        </w:rPr>
        <w:t xml:space="preserve">NEW YORK— August 3, 2026—People Incorporated (NASDAQ: PPLI) released its second quarter results today and separately posted a Q2 2026 earnings presentation. These materials can be found in the Financials section of its website at </w:t>
      </w:r>
      <w:r>
        <w:rPr>
          <w:rFonts w:ascii="Times New Roman;serif" w:hAnsi="Times New Roman;serif"/>
          <w:b w:val="false"/>
          <w:color w:val="0E32E1"/>
          <w:sz w:val="21"/>
          <w:u w:val="single"/>
        </w:rPr>
        <w:t>ir.people-incorporated.com.</w:t>
      </w:r>
      <w:r>
        <w:rPr>
          <w:color w:val="0000FF"/>
        </w:rPr>
        <w:t xml:space="preserve"> </w:t>
      </w:r>
    </w:p>
    <w:tbl>
      <w:tblPr>
        <w:tblW w:w="10089" w:type="dxa"/>
        <w:jc w:val="center"/>
        <w:tblInd w:w="0" w:type="dxa"/>
        <w:tblLayout w:type="fixed"/>
        <w:tblCellMar>
          <w:top w:w="28" w:type="dxa"/>
          <w:left w:w="28" w:type="dxa"/>
          <w:bottom w:w="28" w:type="dxa"/>
          <w:right w:w="28" w:type="dxa"/>
        </w:tblCellMar>
      </w:tblPr>
      <w:tblGrid>
        <w:gridCol w:w="1917"/>
        <w:gridCol w:w="1690"/>
        <w:gridCol w:w="1702"/>
        <w:gridCol w:w="274"/>
        <w:gridCol w:w="840"/>
        <w:gridCol w:w="141"/>
        <w:gridCol w:w="141"/>
        <w:gridCol w:w="141"/>
        <w:gridCol w:w="141"/>
        <w:gridCol w:w="274"/>
        <w:gridCol w:w="840"/>
        <w:gridCol w:w="141"/>
        <w:gridCol w:w="141"/>
        <w:gridCol w:w="141"/>
        <w:gridCol w:w="141"/>
        <w:gridCol w:w="239"/>
        <w:gridCol w:w="242"/>
        <w:gridCol w:w="461"/>
        <w:gridCol w:w="141"/>
        <w:gridCol w:w="141"/>
        <w:gridCol w:w="200"/>
      </w:tblGrid>
      <w:tr>
        <w:trPr/>
        <w:tc>
          <w:tcPr>
            <w:tcW w:w="191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089"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1"/>
              </w:rPr>
            </w:pPr>
            <w:r>
              <w:rPr>
                <w:rFonts w:ascii="Times New Roman;serif" w:hAnsi="Times New Roman;serif"/>
                <w:b/>
                <w:color w:val="000000"/>
                <w:sz w:val="21"/>
              </w:rPr>
              <w:t>PEOPLE INCORPORATED SUMMARY RESULTS</w:t>
            </w:r>
          </w:p>
        </w:tc>
      </w:tr>
      <w:tr>
        <w:trPr/>
        <w:tc>
          <w:tcPr>
            <w:tcW w:w="10089"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1"/>
              </w:rPr>
            </w:pPr>
            <w:r>
              <w:rPr>
                <w:rFonts w:ascii="Times New Roman;serif" w:hAnsi="Times New Roman;serif"/>
                <w:b w:val="false"/>
                <w:i/>
                <w:color w:val="000000"/>
                <w:sz w:val="21"/>
              </w:rPr>
              <w:t>($ in millions except per share amounts)</w:t>
            </w:r>
          </w:p>
        </w:tc>
      </w:tr>
      <w:tr>
        <w:trPr/>
        <w:tc>
          <w:tcPr>
            <w:tcW w:w="530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Q2 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Q2 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Growth</w:t>
            </w:r>
          </w:p>
        </w:tc>
        <w:tc>
          <w:tcPr>
            <w:tcW w:w="4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Revenue</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436.7 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443.2 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48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Operating loss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48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Unrealized gain on investment in MGM Resorts International</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721.7 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307.4 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135 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48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Net earnings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506.9 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48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Diluted earnings per share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160 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48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Adjusted EBITDA</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c>
          <w:tcPr>
            <w:tcW w:w="48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089" w:type="dxa"/>
            <w:gridSpan w:val="21"/>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center"/>
              <w:rPr/>
            </w:pPr>
            <w:r>
              <w:rPr>
                <w:rFonts w:ascii="Times New Roman;serif" w:hAnsi="Times New Roman;serif"/>
                <w:b w:val="false"/>
                <w:i/>
                <w:color w:val="000000"/>
                <w:sz w:val="21"/>
              </w:rPr>
              <w:t xml:space="preserve">See reconciliations of GAAP to non-GAAP measures beginning on page </w:t>
            </w:r>
            <w:hyperlink w:anchor="i71092fe32081413081cb64478a9e9294_28">
              <w:r>
                <w:rPr>
                  <w:rStyle w:val="InternetLink"/>
                  <w:rFonts w:ascii="Times New Roman;serif" w:hAnsi="Times New Roman;serif"/>
                  <w:b w:val="false"/>
                  <w:i/>
                  <w:color w:val="0000FF"/>
                  <w:sz w:val="21"/>
                  <w:u w:val="single"/>
                </w:rPr>
                <w:t>15</w:t>
              </w:r>
            </w:hyperlink>
            <w:r>
              <w:rPr>
                <w:rFonts w:ascii="Times New Roman;serif" w:hAnsi="Times New Roman;serif"/>
                <w:b w:val="false"/>
                <w:i/>
                <w:color w:val="000000"/>
                <w:sz w:val="21"/>
              </w:rPr>
              <w:t>.</w:t>
            </w:r>
          </w:p>
        </w:tc>
      </w:tr>
    </w:tbl>
    <w:p>
      <w:pPr>
        <w:pStyle w:val="TextBody"/>
        <w:bidi w:val="0"/>
        <w:spacing w:before="0" w:after="80"/>
        <w:jc w:val="left"/>
        <w:rPr/>
      </w:pPr>
      <w:r>
        <w:rPr/>
      </w:r>
    </w:p>
    <w:p>
      <w:pPr>
        <w:pStyle w:val="TextBody"/>
        <w:bidi w:val="0"/>
        <w:spacing w:lineRule="auto" w:line="288" w:before="0" w:after="80"/>
        <w:jc w:val="left"/>
        <w:rPr>
          <w:rFonts w:ascii="Times New Roman;serif" w:hAnsi="Times New Roman;serif"/>
          <w:b/>
          <w:color w:val="000000"/>
          <w:sz w:val="21"/>
        </w:rPr>
      </w:pPr>
      <w:r>
        <w:rPr>
          <w:rFonts w:ascii="Times New Roman;serif" w:hAnsi="Times New Roman;serif"/>
          <w:b/>
          <w:color w:val="000000"/>
          <w:sz w:val="21"/>
        </w:rPr>
        <w:t>Q2 2026 SUMMARY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1"/>
        </w:rPr>
        <w:t>On June 4, 2026, the Company, formerly IAC Inc. (NASDAQ: IAC), completed its legal name change and commenced trading under the ticker symbol PPLI.</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1"/>
        </w:rPr>
        <w:t xml:space="preserve">The Company will complete its leadership transition effective August 5, 2026 with Barry Diller continuing as Chairman, Neil Vogel serving as Chief Executive Officer and Timothy Quinn as Chief Financial Officer. Former IAC officers Christopher Halpin, Executive Vice President, Chief Operating Officer and Chief Financial Officer, and Kendall Handler, Executive Vice President, Chief Legal Officer and Secretary, will transition to advisor roles through the end of March 2027.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1"/>
        </w:rPr>
        <w:t>Beginning in Q2 2026, the Company revised its definition of Adjusted EBITDA to exclude certain items that are not indicative of core ongoing operating performance and certain items that affect comparability between periods. As a result of this change, previously reported Adjusted EBITDA for prior periods has been recast to conform to the current period presentation.</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 of 21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76300"/>
                <wp:effectExtent l="0" t="0" r="0" b="0"/>
                <wp:wrapNone/>
                <wp:docPr id="54" name="Frame5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1"/>
        </w:rPr>
        <w:t>People Inc.</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1"/>
        </w:rPr>
        <w:t>Q2 2026 Digital revenue increased 6% to $290 million driven by 16% Non-sessions-based revenue growth (23% Licensing and other growth, growth in Non-sessions-based performance marketing and advertising, including the ramp of D/Cipher+).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Q2 2026 Digital operating income increased 27% to $49 million and Adjusted EBITDA increased 18% to $74 million with Adjusted EBITDA margins expanding nearly 300bps to 26%.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Q2 2026 Total People Inc. operating income was $34 million and Adjusted EBITDA was $73 million.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For the six months ended June 30, 2026, People Inc. net cash from operations increased $88 million to $98 million and Free Cash Flow increased $76 million to $79 million.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1"/>
        </w:rPr>
        <w:t>Capital Allocation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On June 16, 2026, the Board of Directors approved an authorization for the Company to repurchase an additional 10 million shares of its common stock. As of July 31, 2026, the Company had 12.5 million shares remaining under its share repurchase authorization.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The Company entered into agreement to sell its Limited Partner stake in a third party fund to a group of private investors for approximately $189 million in aggregate. We expect the transaction to close in Q3.</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For the six months ended June 30, 2026, the Company’s net cash from operations attributable to continuing operations increased $90 million to $56 million and Free Cash Flow increased $79 million to $36 million.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 xml:space="preserve">As of June 30, 2026, the Company had $1.1 billion in cash and cash equivalents, of which $330 million was held at People Inc.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1"/>
        </w:rPr>
        <w:t>Emerging Other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 xml:space="preserve">Q2 2026 revenue increased 26% to $20 million due to 53% growth at The Daily Beast (accelerating from 36% in Q1 2026) and 12% growth at Vivian Health (accelerating from 8% in Q1 2026).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1"/>
        </w:rPr>
        <w:t xml:space="preserve">Q2 2026 operating income increased $12 million to $3 million driven by the elimination of costs related to a legacy business legal matter settled in Q3 2025 and </w:t>
      </w:r>
      <w:r>
        <w:rPr>
          <w:rFonts w:ascii="Times New Roman;serif" w:hAnsi="Times New Roman;serif"/>
          <w:b w:val="false"/>
          <w:color w:val="000000"/>
          <w:sz w:val="20"/>
        </w:rPr>
        <w:t>$3 million</w:t>
      </w:r>
      <w:r>
        <w:rPr>
          <w:color w:val="000000"/>
        </w:rPr>
        <w:t xml:space="preserve"> </w:t>
      </w:r>
      <w:r>
        <w:rPr>
          <w:rFonts w:ascii="Times New Roman;serif" w:hAnsi="Times New Roman;serif"/>
          <w:b w:val="false"/>
          <w:color w:val="000000"/>
          <w:sz w:val="21"/>
        </w:rPr>
        <w:t>higher Adjusted EBITDA driven by both The Daily Beast and Vivian Health.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1"/>
        </w:rPr>
        <w:t>Search</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The Company ceased operations of the Search business in connection with the expiration of its Google Services Agreement on April 30, 2026. The operations of the Search segment are reflected as discontinued operations for Q2 2026 and prior periods.</w:t>
      </w:r>
    </w:p>
    <w:p>
      <w:pPr>
        <w:pStyle w:val="TextBody"/>
        <w:bidi w:val="0"/>
        <w:spacing w:before="0" w:after="0"/>
        <w:jc w:val="both"/>
        <w:rPr/>
      </w:pPr>
      <w:r>
        <w:rPr/>
      </w:r>
    </w:p>
    <w:p>
      <w:pPr>
        <w:pStyle w:val="TextBody"/>
        <w:bidi w:val="0"/>
        <w:spacing w:before="0" w:after="1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1"/>
        </w:rPr>
        <w:t xml:space="preserve">See the FY 2026 outlook detail and commentary on page </w:t>
      </w:r>
      <w:hyperlink w:anchor="i71092fe32081413081cb64478a9e9294_25">
        <w:r>
          <w:rPr>
            <w:rStyle w:val="InternetLink"/>
            <w:rFonts w:ascii="Times New Roman;serif" w:hAnsi="Times New Roman;serif"/>
            <w:b w:val="false"/>
            <w:i/>
            <w:color w:val="0000FF"/>
            <w:sz w:val="21"/>
            <w:u w:val="single"/>
          </w:rPr>
          <w:t>14</w:t>
        </w:r>
      </w:hyperlink>
      <w:r>
        <w:rPr>
          <w:rFonts w:ascii="Times New Roman;serif" w:hAnsi="Times New Roman;serif"/>
          <w:b w:val="false"/>
          <w:color w:val="000000"/>
          <w:sz w:val="21"/>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 of 21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76300"/>
                <wp:effectExtent l="0" t="0" r="0" b="0"/>
                <wp:wrapNone/>
                <wp:docPr id="55" name="Frame5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DISCUSSION OF FINANCIAL AND OPERATING RESULTS</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tbl>
      <w:tblPr>
        <w:tblW w:w="7026" w:type="dxa"/>
        <w:jc w:val="left"/>
        <w:tblInd w:w="0" w:type="dxa"/>
        <w:tblLayout w:type="fixed"/>
        <w:tblCellMar>
          <w:top w:w="28" w:type="dxa"/>
          <w:left w:w="28" w:type="dxa"/>
          <w:bottom w:w="28" w:type="dxa"/>
          <w:right w:w="28" w:type="dxa"/>
        </w:tblCellMar>
      </w:tblPr>
      <w:tblGrid>
        <w:gridCol w:w="1222"/>
        <w:gridCol w:w="1072"/>
        <w:gridCol w:w="1080"/>
        <w:gridCol w:w="211"/>
        <w:gridCol w:w="646"/>
        <w:gridCol w:w="109"/>
        <w:gridCol w:w="109"/>
        <w:gridCol w:w="109"/>
        <w:gridCol w:w="109"/>
        <w:gridCol w:w="211"/>
        <w:gridCol w:w="646"/>
        <w:gridCol w:w="109"/>
        <w:gridCol w:w="109"/>
        <w:gridCol w:w="109"/>
        <w:gridCol w:w="109"/>
        <w:gridCol w:w="292"/>
        <w:gridCol w:w="294"/>
        <w:gridCol w:w="480"/>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 rounding differences may occur)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1"/>
              </w:rPr>
            </w:pPr>
            <w:r>
              <w:rPr>
                <w:rFonts w:ascii="Times New Roman;serif" w:hAnsi="Times New Roman;serif"/>
                <w:b w:val="false"/>
                <w:color w:val="000000"/>
                <w:sz w:val="21"/>
              </w:rPr>
              <w:t>People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Emerging &amp;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26 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Operating income (loss)</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1"/>
              </w:rPr>
            </w:pPr>
            <w:r>
              <w:rPr>
                <w:rFonts w:ascii="Times New Roman;serif" w:hAnsi="Times New Roman;serif"/>
                <w:b w:val="false"/>
                <w:color w:val="000000"/>
                <w:sz w:val="21"/>
              </w:rPr>
              <w:t>People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Emerging &amp;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NM</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Corporate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-91 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1"/>
              </w:rPr>
              <w:t>Adjusted EBITDA</w:t>
            </w:r>
            <w:r>
              <w:rPr>
                <w:rFonts w:ascii="Times New Roman;serif" w:hAnsi="Times New Roman;serif"/>
                <w:b w:val="false"/>
                <w:color w:val="000000"/>
                <w:sz w:val="14"/>
              </w:rPr>
              <w:t>(a)</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1"/>
              </w:rPr>
            </w:pPr>
            <w:r>
              <w:rPr>
                <w:rFonts w:ascii="Times New Roman;serif" w:hAnsi="Times New Roman;serif"/>
                <w:b w:val="false"/>
                <w:color w:val="000000"/>
                <w:sz w:val="21"/>
              </w:rPr>
              <w:t>People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Emerging &amp;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1587 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Corporate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Total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15 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1"/>
              </w:rPr>
            </w:pPr>
            <w:r>
              <w:rPr>
                <w:rFonts w:ascii="Times New Roman;serif" w:hAnsi="Times New Roman;serif"/>
                <w:b w:val="false"/>
                <w:color w:val="000000"/>
                <w:sz w:val="21"/>
              </w:rPr>
              <w:t>%</w:t>
            </w:r>
          </w:p>
        </w:tc>
      </w:tr>
    </w:tbl>
    <w:p>
      <w:pPr>
        <w:pStyle w:val="TextBody"/>
        <w:bidi w:val="0"/>
        <w:spacing w:lineRule="auto" w:line="288" w:before="0" w:after="0"/>
        <w:jc w:val="left"/>
        <w:rPr/>
      </w:pPr>
      <w:r>
        <w:rPr>
          <w:rFonts w:ascii="Times New Roman;serif" w:hAnsi="Times New Roman;serif"/>
          <w:b w:val="false"/>
          <w:color w:val="000000"/>
          <w:sz w:val="20"/>
        </w:rPr>
        <w:t xml:space="preserve">(a) Refer to Principles of Financial Reporting on page </w:t>
      </w:r>
      <w:hyperlink w:anchor="i71092fe32081413081cb64478a9e9294_34">
        <w:r>
          <w:rPr>
            <w:rStyle w:val="InternetLink"/>
            <w:rFonts w:ascii="Times New Roman;serif" w:hAnsi="Times New Roman;serif"/>
            <w:b w:val="false"/>
            <w:color w:val="0000FF"/>
            <w:sz w:val="20"/>
            <w:u w:val="single"/>
          </w:rPr>
          <w:t>18</w:t>
        </w:r>
      </w:hyperlink>
      <w:r>
        <w:rPr>
          <w:color w:val="000000"/>
        </w:rPr>
        <w:t xml:space="preserve"> </w:t>
      </w:r>
      <w:r>
        <w:rPr>
          <w:rFonts w:ascii="Times New Roman;serif" w:hAnsi="Times New Roman;serif"/>
          <w:b w:val="false"/>
          <w:color w:val="000000"/>
          <w:sz w:val="20"/>
        </w:rPr>
        <w:t xml:space="preserve">for the Company’s revised definition of Adjusted EBITDA. </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4 of 21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76300"/>
                <wp:effectExtent l="0" t="0" r="0" b="0"/>
                <wp:wrapNone/>
                <wp:docPr id="56" name="Frame55"/>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People Inc.</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240"/>
        <w:jc w:val="both"/>
        <w:rPr/>
      </w:pPr>
      <w:r>
        <w:rPr/>
      </w:r>
    </w:p>
    <w:tbl>
      <w:tblPr>
        <w:tblW w:w="6793" w:type="dxa"/>
        <w:jc w:val="left"/>
        <w:tblInd w:w="0" w:type="dxa"/>
        <w:tblLayout w:type="fixed"/>
        <w:tblCellMar>
          <w:top w:w="28" w:type="dxa"/>
          <w:left w:w="28" w:type="dxa"/>
          <w:bottom w:w="28" w:type="dxa"/>
          <w:right w:w="28" w:type="dxa"/>
        </w:tblCellMar>
      </w:tblPr>
      <w:tblGrid>
        <w:gridCol w:w="1222"/>
        <w:gridCol w:w="1072"/>
        <w:gridCol w:w="1080"/>
        <w:gridCol w:w="211"/>
        <w:gridCol w:w="616"/>
        <w:gridCol w:w="109"/>
        <w:gridCol w:w="109"/>
        <w:gridCol w:w="109"/>
        <w:gridCol w:w="109"/>
        <w:gridCol w:w="211"/>
        <w:gridCol w:w="616"/>
        <w:gridCol w:w="109"/>
        <w:gridCol w:w="109"/>
        <w:gridCol w:w="109"/>
        <w:gridCol w:w="109"/>
        <w:gridCol w:w="210"/>
        <w:gridCol w:w="211"/>
        <w:gridCol w:w="472"/>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 rounding differences may occur)</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Revenue of $416.7 million decreased 2% year-over-year reflecting:</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6% </w:t>
      </w:r>
      <w:r>
        <w:rPr>
          <w:rFonts w:ascii="Times New Roman;serif" w:hAnsi="Times New Roman;serif"/>
          <w:b w:val="false"/>
          <w:i/>
          <w:color w:val="000000"/>
          <w:sz w:val="22"/>
        </w:rPr>
        <w:t xml:space="preserve">Digital </w:t>
      </w:r>
      <w:r>
        <w:rPr>
          <w:rFonts w:ascii="Times New Roman;serif" w:hAnsi="Times New Roman;serif"/>
          <w:b w:val="false"/>
          <w:color w:val="000000"/>
          <w:sz w:val="22"/>
        </w:rPr>
        <w:t>revenue growth reflecting:</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Licensing and other revenue increased 23% due primarily to improved performance from Apple News+ and content syndication partners as well as from the contribution of the Meta content partnership (signed in Q4 2025)</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Performance marketing revenue increased 13%, driven by 11% affiliate commerce growth primarily resulting from higher transaction volumes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Advertising revenue was flat year-over-year reflecting: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Higher open programmatic advertising revenue due to higher rates, partially offset by lower impression volumes driven by a 22% decline in Core Sessions, due primarily to the impact of the growing prominence of Google AI Overviews on Google search results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Lower premium advertising revenue due to declines in premium programmatic volume, partially offset by direct-sold growth primarily from the Health and Pharmaceuticals, Media and Entertainment and Beauty and Style categories as well as increased contribution from D/Cipher+ and other Non-session-based revenue streams including contribution from the Feedfeed acquisition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16% </w:t>
      </w:r>
      <w:r>
        <w:rPr>
          <w:rFonts w:ascii="Times New Roman;serif" w:hAnsi="Times New Roman;serif"/>
          <w:b w:val="false"/>
          <w:i/>
          <w:color w:val="000000"/>
          <w:sz w:val="22"/>
        </w:rPr>
        <w:t xml:space="preserve">Print </w:t>
      </w:r>
      <w:r>
        <w:rPr>
          <w:rFonts w:ascii="Times New Roman;serif" w:hAnsi="Times New Roman;serif"/>
          <w:b w:val="false"/>
          <w:color w:val="000000"/>
          <w:sz w:val="22"/>
        </w:rPr>
        <w:t xml:space="preserve">revenue declines driven by the ongoing portfolio optimization and the continued migration of audience and advertising spend from print to digital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5 of 21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76300"/>
                <wp:effectExtent l="0" t="0" r="0" b="0"/>
                <wp:wrapNone/>
                <wp:docPr id="57" name="Frame56"/>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Operating Income (Loss) and Adjusted EBITDA</w:t>
      </w:r>
    </w:p>
    <w:p>
      <w:pPr>
        <w:pStyle w:val="TextBody"/>
        <w:bidi w:val="0"/>
        <w:spacing w:before="0" w:after="240"/>
        <w:jc w:val="both"/>
        <w:rPr/>
      </w:pPr>
      <w:r>
        <w:rPr/>
      </w:r>
    </w:p>
    <w:tbl>
      <w:tblPr>
        <w:tblW w:w="6583" w:type="dxa"/>
        <w:jc w:val="left"/>
        <w:tblInd w:w="0" w:type="dxa"/>
        <w:tblLayout w:type="fixed"/>
        <w:tblCellMar>
          <w:top w:w="28" w:type="dxa"/>
          <w:left w:w="28" w:type="dxa"/>
          <w:bottom w:w="28" w:type="dxa"/>
          <w:right w:w="28" w:type="dxa"/>
        </w:tblCellMar>
      </w:tblPr>
      <w:tblGrid>
        <w:gridCol w:w="1222"/>
        <w:gridCol w:w="1072"/>
        <w:gridCol w:w="1080"/>
        <w:gridCol w:w="211"/>
        <w:gridCol w:w="511"/>
        <w:gridCol w:w="109"/>
        <w:gridCol w:w="109"/>
        <w:gridCol w:w="109"/>
        <w:gridCol w:w="109"/>
        <w:gridCol w:w="211"/>
        <w:gridCol w:w="511"/>
        <w:gridCol w:w="109"/>
        <w:gridCol w:w="109"/>
        <w:gridCol w:w="109"/>
        <w:gridCol w:w="109"/>
        <w:gridCol w:w="209"/>
        <w:gridCol w:w="212"/>
        <w:gridCol w:w="472"/>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 rounding differences may occur)</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Operating income of $33.8 million decreased 3% reflecting:</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i/>
          <w:color w:val="000000"/>
          <w:sz w:val="22"/>
        </w:rPr>
        <w:t xml:space="preserve">Digital </w:t>
      </w:r>
      <w:r>
        <w:rPr>
          <w:rFonts w:ascii="Times New Roman;serif" w:hAnsi="Times New Roman;serif"/>
          <w:b w:val="false"/>
          <w:color w:val="000000"/>
          <w:sz w:val="22"/>
        </w:rPr>
        <w:t>operating income increased 27% to $48.7 million reflecting: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Adjusted EBITDA increased 18% to $74.5 million due to the revenue growth and expense leverage with Adjusted EBITDA margins of 26% (compared to 23% margins in Q2 2025)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$3.1 million lower amortization of intangibles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$3.3 million accrual for a certain legal matter</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1"/>
        </w:rPr>
        <w:t>$0.6 million</w:t>
      </w:r>
      <w:r>
        <w:rPr>
          <w:color w:val="000000"/>
        </w:rPr>
        <w:t xml:space="preserve"> </w:t>
      </w:r>
      <w:r>
        <w:rPr>
          <w:rFonts w:ascii="Times New Roman;serif" w:hAnsi="Times New Roman;serif"/>
          <w:b w:val="false"/>
          <w:color w:val="000000"/>
          <w:sz w:val="22"/>
        </w:rPr>
        <w:t>higher depreciation</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i/>
          <w:color w:val="000000"/>
          <w:sz w:val="22"/>
        </w:rPr>
        <w:t xml:space="preserve">Print </w:t>
      </w:r>
      <w:r>
        <w:rPr>
          <w:rFonts w:ascii="Times New Roman;serif" w:hAnsi="Times New Roman;serif"/>
          <w:b w:val="false"/>
          <w:color w:val="000000"/>
          <w:sz w:val="22"/>
        </w:rPr>
        <w:t xml:space="preserve">operating income decreased </w:t>
      </w:r>
      <w:r>
        <w:rPr>
          <w:rFonts w:ascii="Times New Roman;serif" w:hAnsi="Times New Roman;serif"/>
          <w:b w:val="false"/>
          <w:color w:val="000000"/>
          <w:sz w:val="21"/>
        </w:rPr>
        <w:t>58%</w:t>
      </w:r>
      <w:r>
        <w:rPr>
          <w:color w:val="000000"/>
        </w:rPr>
        <w:t xml:space="preserve"> </w:t>
      </w:r>
      <w:r>
        <w:rPr>
          <w:rFonts w:ascii="Times New Roman;serif" w:hAnsi="Times New Roman;serif"/>
          <w:b w:val="false"/>
          <w:color w:val="000000"/>
          <w:sz w:val="22"/>
        </w:rPr>
        <w:t>to $4.5 million reflecting: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Adjusted EBITDA declined 45% to $9.1 million due to the lower revenue, partially offset by lower operating expenses resulting from continued cost rationalization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$0.5 million lower depreciation and $0.2 million lower amortization of intangibles</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i/>
          <w:color w:val="000000"/>
          <w:sz w:val="22"/>
        </w:rPr>
        <w:t>Other (unallocated corporate costs)</w:t>
      </w:r>
      <w:r>
        <w:rPr>
          <w:color w:val="000000"/>
        </w:rPr>
        <w:t xml:space="preserve"> </w:t>
      </w:r>
      <w:r>
        <w:rPr>
          <w:rFonts w:ascii="Times New Roman;serif" w:hAnsi="Times New Roman;serif"/>
          <w:b w:val="false"/>
          <w:color w:val="000000"/>
          <w:sz w:val="22"/>
        </w:rPr>
        <w:t xml:space="preserve">operating loss of $19.5 million increased 34% reflecting: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$3.7 million in costs in Q2 2026 related to People Inc.’s antitrust litigation against Google</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$1.1 million higher stock-based compensation expense</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Adjusted EBITDA loss increased 1% to $10.3 million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6 of 21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76300"/>
                <wp:effectExtent l="0" t="0" r="0" b="0"/>
                <wp:wrapNone/>
                <wp:docPr id="58" name="Frame57"/>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360" w:before="0" w:after="240"/>
        <w:jc w:val="both"/>
        <w:rPr>
          <w:rFonts w:ascii="Times New Roman;serif" w:hAnsi="Times New Roman;serif"/>
          <w:b/>
          <w:i/>
          <w:color w:val="000000"/>
          <w:sz w:val="22"/>
        </w:rPr>
      </w:pPr>
      <w:r>
        <w:rPr>
          <w:rFonts w:ascii="Times New Roman;serif" w:hAnsi="Times New Roman;serif"/>
          <w:b/>
          <w:i/>
          <w:color w:val="000000"/>
          <w:sz w:val="22"/>
        </w:rPr>
        <w:t>Emerging &amp; Other</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Revenue increased 26% to $20.0 million reflecting: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53% higher revenue from The Daily Beast driven primarily by content licensing, advertising and subscription revenue growth</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12% higher revenue from Vivian Health driven by higher subscription and usage revenue, due in part to the contribution from its AI Assistant subscription product launched in Q4 2025</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Operating income of $2.5 million compared to a loss of $9.2 million in Q2 2025 reflecting: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Adjusted EBITDA profits increased $2.7 million to $2.9 million driven by:</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Higher profits at both The Daily Beast and Vivian Health</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$2.5 million lower stock-based compensation expense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The inclusion of $6.5 million in legal fees in Q2 2025 for litigation that concluded in Q3 2025 related to a legacy business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i/>
          <w:color w:val="000000"/>
          <w:sz w:val="22"/>
        </w:rPr>
      </w:pPr>
      <w:r>
        <w:rPr>
          <w:rFonts w:ascii="Times New Roman;serif" w:hAnsi="Times New Roman;serif"/>
          <w:b/>
          <w:i/>
          <w:color w:val="000000"/>
          <w:sz w:val="22"/>
        </w:rPr>
        <w:t>Corporate</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Operating loss increased $17.6 million to $50.6 million reflecting:</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 xml:space="preserve">$18.4 million higher stock-based compensation expense due primarily to the acceleration and modification of employee awards related to the consolidation of corporate functions with those of the People Inc. business </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$1.0 million in severance and related expenses due primarily to the above-mentioned consolidation of corporate functions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$0.7 million in transaction-related costs</w:t>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2"/>
        </w:rPr>
        <w:t>Adjusted EBITDA losses decreased 4% to $20.3 million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i/>
          <w:color w:val="000000"/>
          <w:sz w:val="22"/>
        </w:rPr>
      </w:pPr>
      <w:r>
        <w:rPr>
          <w:rFonts w:ascii="Times New Roman;serif" w:hAnsi="Times New Roman;serif"/>
          <w:b/>
          <w:i/>
          <w:color w:val="000000"/>
          <w:sz w:val="22"/>
        </w:rPr>
        <w:t>Investment in MGM</w:t>
      </w:r>
    </w:p>
    <w:p>
      <w:pPr>
        <w:pStyle w:val="TextBody"/>
        <w:bidi w:val="0"/>
        <w:spacing w:before="0" w:after="0"/>
        <w:jc w:val="both"/>
        <w:rPr/>
      </w:pPr>
      <w:r>
        <w:rPr/>
      </w:r>
    </w:p>
    <w:p>
      <w:pPr>
        <w:pStyle w:val="TextBody"/>
        <w:bidi w:val="0"/>
        <w:spacing w:lineRule="auto" w:line="360"/>
        <w:jc w:val="both"/>
        <w:rPr>
          <w:rFonts w:ascii="Times New Roman;serif" w:hAnsi="Times New Roman;serif"/>
          <w:b w:val="false"/>
          <w:color w:val="000000"/>
          <w:sz w:val="22"/>
        </w:rPr>
      </w:pPr>
      <w:r>
        <w:rPr>
          <w:rFonts w:ascii="Times New Roman;serif" w:hAnsi="Times New Roman;serif"/>
          <w:b w:val="false"/>
          <w:color w:val="000000"/>
          <w:sz w:val="22"/>
        </w:rPr>
        <w:t>The Company holds 66.8 million shares of MGM, which were purchased for $1.3 billion, and were valued at $3.0 billion as of July 31, 2026. Net earnings (loss) and diluted earnings (loss) per share reflect changes in MGM’s share price as unrealized gains and losses and, as a result, can be very volatile, which reduces their ability to be effective measures to assess operating performance.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7 of 21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76300"/>
                <wp:effectExtent l="0" t="0" r="0" b="0"/>
                <wp:wrapNone/>
                <wp:docPr id="59" name="Frame58"/>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Income Taxes</w:t>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recorded an income tax provision of $177.3 million in Q2 2026 for an effective tax rate of 26%, which was higher than the statutory rate due primarily to state taxes. In Q2 2025, the Company recorded an income tax provision of $74.4 million for an effective tax rate of 28%, which was higher than the statutory rate due primarily to state taxes, a deferred tax adjustment, and non-deductible compensation expense, partially offset by the realization of a capital loss. </w:t>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68" w:before="0" w:after="240"/>
        <w:jc w:val="both"/>
        <w:rPr>
          <w:rFonts w:ascii="Times New Roman;serif" w:hAnsi="Times New Roman;serif"/>
          <w:b/>
          <w:i/>
          <w:color w:val="000000"/>
          <w:sz w:val="22"/>
        </w:rPr>
      </w:pPr>
      <w:r>
        <w:rPr>
          <w:rFonts w:ascii="Times New Roman;serif" w:hAnsi="Times New Roman;serif"/>
          <w:b/>
          <w:i/>
          <w:color w:val="000000"/>
          <w:sz w:val="22"/>
        </w:rPr>
        <w:t>Free Cash Flow</w:t>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For the six months ended June 30, 2026, net cash provided by operating activities attributable to continuing operations was $55.6 million, a $90.1 million increase from net cash provided by operating activities attributable to continuing operations for the six months ended June 30, 2025. Free Cash Flow increased $79.1 million to positive $36.5 million due primarily to higher Adjusted EBITDA and $43.1 million of payments in the first half of 2025 at People Inc. related to a lease amendment to surrender certain office space, partially offset by higher capital expenditures.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45"/>
        <w:gridCol w:w="2371"/>
        <w:gridCol w:w="2377"/>
        <w:gridCol w:w="267"/>
        <w:gridCol w:w="692"/>
        <w:gridCol w:w="128"/>
        <w:gridCol w:w="128"/>
        <w:gridCol w:w="128"/>
        <w:gridCol w:w="128"/>
        <w:gridCol w:w="267"/>
        <w:gridCol w:w="787"/>
        <w:gridCol w:w="187"/>
      </w:tblGrid>
      <w:tr>
        <w:trPr/>
        <w:tc>
          <w:tcPr>
            <w:tcW w:w="2745"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rounding differences may occur)</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provided by (used in) operating activities attributable to continuing operations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expenditures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CONFERENCE CALL</w:t>
      </w:r>
    </w:p>
    <w:p>
      <w:pPr>
        <w:pStyle w:val="TextBody"/>
        <w:bidi w:val="0"/>
        <w:spacing w:lineRule="auto" w:line="288" w:before="0" w:after="240"/>
        <w:jc w:val="both"/>
        <w:rPr/>
      </w:pPr>
      <w:r>
        <w:rPr>
          <w:rFonts w:ascii="Times New Roman;serif" w:hAnsi="Times New Roman;serif"/>
          <w:b w:val="false"/>
          <w:color w:val="000000"/>
          <w:sz w:val="20"/>
        </w:rPr>
        <w:t>People Incorporated will host a conference call to answer questions regarding its second quarter results on Tuesday, August 4, 2026, at 8:30 a.m. Eastern Time. This conference call will include the disclosure of certain information, including forward-looking information, which may be material to an investor’s understanding of People Incorporated’s business. The conference call will be accessible to the public at</w:t>
      </w:r>
      <w:r>
        <w:rPr>
          <w:color w:val="0000FF"/>
        </w:rPr>
        <w:t xml:space="preserve"> </w:t>
      </w:r>
      <w:r>
        <w:rPr>
          <w:rFonts w:ascii="Times New Roman;serif" w:hAnsi="Times New Roman;serif"/>
          <w:b w:val="false"/>
          <w:color w:val="0E32E1"/>
          <w:sz w:val="20"/>
          <w:u w:val="single"/>
        </w:rPr>
        <w:t>ir.people-incorporated.com</w:t>
      </w:r>
      <w:r>
        <w:rPr>
          <w:color w:val="0000FF"/>
        </w:rPr>
        <w:t xml:space="preserve"> </w:t>
      </w:r>
      <w:r>
        <w:rPr>
          <w:rFonts w:ascii="Times New Roman;serif" w:hAnsi="Times New Roman;serif"/>
          <w:b w:val="false"/>
          <w:color w:val="000000"/>
          <w:sz w:val="20"/>
        </w:rPr>
        <w:t>along with the Q2 2026 earnings presentation and a subsequent recording of the webcast.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8 of 21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76300"/>
                <wp:effectExtent l="0" t="0" r="0" b="0"/>
                <wp:wrapNone/>
                <wp:docPr id="60" name="Frame59"/>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of June 30, 2026:</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Company had 74.5 million shares of common stock and Class B common stock outstanding.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The Company had $1.1 billion in cash and cash equivalents of which the Company (excluding People Inc.) held $783 million and People Inc. held $330 million.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Company had $1.4 billion in long-term debt, which is the obligation of People Inc.</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As of June 30, 2026, People Inc. had a weighted average maturity of 5.5 years and weighted average borrowing cost of 7.0%.</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2"/>
        </w:rPr>
        <w:t>As of June 30, 2026, People Inc.’s net consolidated leverage ratio defined in its credit agreement remained below 4.0x, providing People Inc. and the Company with increased financial flexibility.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The Company owned 66.8 million shares of MGM.</w:t>
      </w:r>
    </w:p>
    <w:p>
      <w:pPr>
        <w:pStyle w:val="TextBody"/>
        <w:bidi w:val="0"/>
        <w:spacing w:before="0" w:after="240"/>
        <w:jc w:val="both"/>
        <w:rPr/>
      </w:pPr>
      <w:r>
        <w:rPr/>
      </w:r>
    </w:p>
    <w:p>
      <w:pPr>
        <w:pStyle w:val="TextBody"/>
        <w:bidi w:val="0"/>
        <w:spacing w:lineRule="auto" w:line="360" w:before="0" w:after="0"/>
        <w:jc w:val="both"/>
        <w:rPr/>
      </w:pPr>
      <w:r>
        <w:rPr>
          <w:rFonts w:ascii="Times New Roman;serif" w:hAnsi="Times New Roman;serif"/>
          <w:b w:val="false"/>
          <w:color w:val="000000"/>
          <w:sz w:val="22"/>
          <w:shd w:fill="FFFFFF" w:val="clear"/>
        </w:rPr>
        <w:t>On June 16, 2026, the Company’s Board of Directors approved an authorization for the Company to repurchase an additional 10 million shares of the Company’s Common Stock.</w:t>
      </w:r>
      <w:r>
        <w:rPr>
          <w:color w:val="000000"/>
        </w:rPr>
        <w:t xml:space="preserve"> </w:t>
      </w:r>
      <w:r>
        <w:rPr>
          <w:rFonts w:ascii="Times New Roman;serif" w:hAnsi="Times New Roman;serif"/>
          <w:b w:val="false"/>
          <w:color w:val="000000"/>
          <w:sz w:val="22"/>
          <w:shd w:fill="FFFFFF" w:val="clear"/>
        </w:rPr>
        <w:t>As of July 31, 2026, the Company</w:t>
      </w:r>
      <w:r>
        <w:rPr>
          <w:color w:val="000000"/>
        </w:rPr>
        <w:t xml:space="preserve"> </w:t>
      </w:r>
      <w:r>
        <w:rPr>
          <w:rFonts w:ascii="Times New Roman;serif" w:hAnsi="Times New Roman;serif"/>
          <w:b w:val="false"/>
          <w:color w:val="000000"/>
          <w:sz w:val="22"/>
        </w:rPr>
        <w:t>had 12.5 million shares remaining under its share repurchase authorization.</w:t>
      </w:r>
    </w:p>
    <w:p>
      <w:pPr>
        <w:pStyle w:val="TextBody"/>
        <w:bidi w:val="0"/>
        <w:spacing w:lineRule="auto" w:line="36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Share repurchases can be made over an indefinite period of time in the open market and in privately negotiated transactions, depending on those factors management deems relevant at any particular time, including, without limitation, market conditions, price and future outlook.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9 of 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76300"/>
                <wp:effectExtent l="0" t="0" r="0" b="0"/>
                <wp:wrapNone/>
                <wp:docPr id="61" name="Frame60"/>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2"/>
        </w:rPr>
      </w:pPr>
      <w:r>
        <w:rPr>
          <w:rFonts w:ascii="Times New Roman;serif" w:hAnsi="Times New Roman;serif"/>
          <w:b/>
          <w:i/>
          <w:color w:val="000000"/>
          <w:sz w:val="22"/>
        </w:rPr>
        <w:t>OPERATING METRICS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 in millions; rounding differences may occur)</w:t>
      </w:r>
    </w:p>
    <w:tbl>
      <w:tblPr>
        <w:tblW w:w="7372" w:type="dxa"/>
        <w:jc w:val="left"/>
        <w:tblInd w:w="0" w:type="dxa"/>
        <w:tblLayout w:type="fixed"/>
        <w:tblCellMar>
          <w:top w:w="28" w:type="dxa"/>
          <w:left w:w="28" w:type="dxa"/>
          <w:bottom w:w="28" w:type="dxa"/>
          <w:right w:w="28" w:type="dxa"/>
        </w:tblCellMar>
      </w:tblPr>
      <w:tblGrid>
        <w:gridCol w:w="1459"/>
        <w:gridCol w:w="1000"/>
        <w:gridCol w:w="1006"/>
        <w:gridCol w:w="226"/>
        <w:gridCol w:w="706"/>
        <w:gridCol w:w="109"/>
        <w:gridCol w:w="109"/>
        <w:gridCol w:w="109"/>
        <w:gridCol w:w="109"/>
        <w:gridCol w:w="226"/>
        <w:gridCol w:w="706"/>
        <w:gridCol w:w="109"/>
        <w:gridCol w:w="109"/>
        <w:gridCol w:w="109"/>
        <w:gridCol w:w="109"/>
        <w:gridCol w:w="239"/>
        <w:gridCol w:w="242"/>
        <w:gridCol w:w="427"/>
        <w:gridCol w:w="109"/>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u w:val="single"/>
              </w:rPr>
            </w:pPr>
            <w:r>
              <w:rPr>
                <w:rFonts w:ascii="Times New Roman;serif" w:hAnsi="Times New Roman;serif"/>
                <w:b/>
                <w:color w:val="000000"/>
                <w:sz w:val="22"/>
                <w:u w:val="single"/>
              </w:rPr>
              <w:t>People Inc.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Advertising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Performance marketing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Licensing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Digital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Intersegment eliminations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Digital Session-based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Digital Non-session-based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Digital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Digital metrics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Sessions (in millions)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Core Sessions (in millions)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Emerging &amp; Other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Vivian Health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Daily Beast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val="false"/>
          <w:i/>
          <w:color w:val="000000"/>
          <w:sz w:val="16"/>
        </w:rPr>
        <w:t xml:space="preserve">See metric definitions on page </w:t>
      </w:r>
      <w:hyperlink w:anchor="i71092fe32081413081cb64478a9e9294_37">
        <w:r>
          <w:rPr>
            <w:rStyle w:val="InternetLink"/>
            <w:rFonts w:ascii="Times New Roman;serif" w:hAnsi="Times New Roman;serif"/>
            <w:b w:val="false"/>
            <w:i/>
            <w:color w:val="0000FF"/>
            <w:sz w:val="16"/>
            <w:u w:val="single"/>
          </w:rPr>
          <w:t>20</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10 of 21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76300"/>
                <wp:effectExtent l="0" t="0" r="0" b="0"/>
                <wp:wrapNone/>
                <wp:docPr id="62" name="Frame61"/>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DILUTIVE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People Incorporated has various dilutive securities. The table below details these securities as well as potential dilution at various stock prices (shares in millions; rounding differences may occur).</w:t>
      </w:r>
    </w:p>
    <w:tbl>
      <w:tblPr>
        <w:tblW w:w="10205" w:type="dxa"/>
        <w:jc w:val="left"/>
        <w:tblInd w:w="0" w:type="dxa"/>
        <w:tblLayout w:type="fixed"/>
        <w:tblCellMar>
          <w:top w:w="28" w:type="dxa"/>
          <w:left w:w="28" w:type="dxa"/>
          <w:bottom w:w="28" w:type="dxa"/>
          <w:right w:w="28" w:type="dxa"/>
        </w:tblCellMar>
      </w:tblPr>
      <w:tblGrid>
        <w:gridCol w:w="842"/>
        <w:gridCol w:w="700"/>
        <w:gridCol w:w="693"/>
        <w:gridCol w:w="233"/>
        <w:gridCol w:w="233"/>
        <w:gridCol w:w="211"/>
        <w:gridCol w:w="109"/>
        <w:gridCol w:w="109"/>
        <w:gridCol w:w="109"/>
        <w:gridCol w:w="319"/>
        <w:gridCol w:w="906"/>
        <w:gridCol w:w="177"/>
        <w:gridCol w:w="109"/>
        <w:gridCol w:w="109"/>
        <w:gridCol w:w="109"/>
        <w:gridCol w:w="224"/>
        <w:gridCol w:w="637"/>
        <w:gridCol w:w="293"/>
        <w:gridCol w:w="196"/>
        <w:gridCol w:w="556"/>
        <w:gridCol w:w="256"/>
        <w:gridCol w:w="196"/>
        <w:gridCol w:w="556"/>
        <w:gridCol w:w="256"/>
        <w:gridCol w:w="196"/>
        <w:gridCol w:w="556"/>
        <w:gridCol w:w="256"/>
        <w:gridCol w:w="196"/>
        <w:gridCol w:w="556"/>
        <w:gridCol w:w="307"/>
      </w:tblGrid>
      <w:tr>
        <w:trPr/>
        <w:tc>
          <w:tcPr>
            <w:tcW w:w="84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Avg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07/31/26</w:t>
            </w:r>
          </w:p>
        </w:tc>
        <w:tc>
          <w:tcPr>
            <w:tcW w:w="40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Dilution at:</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Price</w:t>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Absolute Shares as of 07/31/26</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Dilution</w:t>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Dilution</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Diluted Shares Outstanding</w:t>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Times New Roman;serif" w:hAnsi="Times New Roman;serif"/>
          <w:b w:val="false"/>
          <w:color w:val="000000"/>
          <w:sz w:val="20"/>
        </w:rPr>
        <w:t>The dilutive securities presentation is calculated using the methods and assumptions described below, which are different from those used for GAAP dilution, which is calculated based on the treasury stock method.</w:t>
      </w:r>
      <w:r>
        <w:rPr>
          <w:color w:val="000000"/>
        </w:rPr>
        <w:t xml:space="preserve"> </w:t>
      </w:r>
    </w:p>
    <w:p>
      <w:pPr>
        <w:pStyle w:val="TextBody"/>
        <w:bidi w:val="0"/>
        <w:spacing w:before="0" w:after="0"/>
        <w:jc w:val="both"/>
        <w:rPr/>
      </w:pPr>
      <w:r>
        <w:rPr/>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settles all equity awards on a net basis; therefore, the dilutive effect is presented as the net number of shares expected to be issued upon vesting or exercise, and in the case of options, assuming no proceeds are received by the Company. Any required withholding taxes are paid in cash by the Company on behalf of the employees. In addition, the estimated income tax benefit from the tax deduction received upon the vesting or exercise of these awards is assumed to be used to repurchase People Incorporated shares. Assuming all awards were exercised or vested on July 31, 2026, withholding taxes payable by the Company on behalf of the employees upon net settlement would have been $64.6 million (of which approximately 70% would be payable for awards currently vested and those vesting on or before June 30, 2027), assuming a stock price of $41.57 and a 50% withholding rate.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11 of 21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76300"/>
                <wp:effectExtent l="0" t="0" r="0" b="0"/>
                <wp:wrapNone/>
                <wp:docPr id="63" name="Frame6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2"/>
        </w:rPr>
      </w:pPr>
      <w:r>
        <w:rPr>
          <w:rFonts w:ascii="Times New Roman;serif" w:hAnsi="Times New Roman;serif"/>
          <w:b/>
          <w:i/>
          <w:color w:val="000000"/>
          <w:sz w:val="22"/>
        </w:rPr>
        <w:t>GAAP FINANCIAL STATEMENTS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PEOPLE INCORPORATED CONSOLIDATED STATEMENT OF OPERATIONS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in thousands except per share data)</w:t>
      </w:r>
    </w:p>
    <w:tbl>
      <w:tblPr>
        <w:tblW w:w="10205" w:type="dxa"/>
        <w:jc w:val="left"/>
        <w:tblInd w:w="0" w:type="dxa"/>
        <w:tblLayout w:type="fixed"/>
        <w:tblCellMar>
          <w:top w:w="28" w:type="dxa"/>
          <w:left w:w="28" w:type="dxa"/>
          <w:bottom w:w="28" w:type="dxa"/>
          <w:right w:w="28" w:type="dxa"/>
        </w:tblCellMar>
      </w:tblPr>
      <w:tblGrid>
        <w:gridCol w:w="1813"/>
        <w:gridCol w:w="1588"/>
        <w:gridCol w:w="161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1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(exclusive of depreciation shown separately below)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in MGM Resorts 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(loss) from continuing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earnings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the sale of Care.com, net of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earnings from discontinued operations, net of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earnings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earnings (loss) attributable to People Incorporated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information from continuing operations:</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information attributable to People Incorporated common stock and Class B common stock shareholders:</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Stock-based compensation expense by function: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12 of 21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76300"/>
                <wp:effectExtent l="0" t="0" r="0" b="0"/>
                <wp:wrapNone/>
                <wp:docPr id="64" name="Frame6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PEOPLE INCORPORATED CONSOLIDATED BALANCE SHEET</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in thousands)</w:t>
      </w:r>
    </w:p>
    <w:tbl>
      <w:tblPr>
        <w:tblW w:w="8822" w:type="dxa"/>
        <w:jc w:val="left"/>
        <w:tblInd w:w="0" w:type="dxa"/>
        <w:tblLayout w:type="fixed"/>
        <w:tblCellMar>
          <w:top w:w="28" w:type="dxa"/>
          <w:left w:w="28" w:type="dxa"/>
          <w:bottom w:w="28" w:type="dxa"/>
          <w:right w:w="28" w:type="dxa"/>
        </w:tblCellMar>
      </w:tblPr>
      <w:tblGrid>
        <w:gridCol w:w="2091"/>
        <w:gridCol w:w="1831"/>
        <w:gridCol w:w="1853"/>
        <w:gridCol w:w="196"/>
        <w:gridCol w:w="871"/>
        <w:gridCol w:w="109"/>
        <w:gridCol w:w="109"/>
        <w:gridCol w:w="109"/>
        <w:gridCol w:w="109"/>
        <w:gridCol w:w="248"/>
        <w:gridCol w:w="1102"/>
        <w:gridCol w:w="194"/>
      </w:tblGrid>
      <w:tr>
        <w:trPr/>
        <w:tc>
          <w:tcPr>
            <w:tcW w:w="209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941,311 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1,544,749 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Buildings, land, equipment, leasehold improvements and capitalized software,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1,508,030 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MGM Resorts International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2,401,858 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429,395 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7,194,917 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trade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560,867 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1,401,324 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5,959,692 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(571,032)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People Incorporated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5,082,381 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4,733,827 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4,763,759 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7,194,917 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13 of 21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76300"/>
                <wp:effectExtent l="0" t="0" r="0" b="0"/>
                <wp:wrapNone/>
                <wp:docPr id="65" name="Frame6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PEOPLE INCORPORATED CONSOLIDATED STATEMENT OF CASH FLOWS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in thousands)</w:t>
      </w:r>
    </w:p>
    <w:tbl>
      <w:tblPr>
        <w:tblW w:w="10205" w:type="dxa"/>
        <w:jc w:val="left"/>
        <w:tblInd w:w="0" w:type="dxa"/>
        <w:tblLayout w:type="fixed"/>
        <w:tblCellMar>
          <w:top w:w="28" w:type="dxa"/>
          <w:left w:w="28" w:type="dxa"/>
          <w:bottom w:w="28" w:type="dxa"/>
          <w:right w:w="28" w:type="dxa"/>
        </w:tblCellMar>
      </w:tblPr>
      <w:tblGrid>
        <w:gridCol w:w="2734"/>
        <w:gridCol w:w="2365"/>
        <w:gridCol w:w="2380"/>
        <w:gridCol w:w="196"/>
        <w:gridCol w:w="871"/>
        <w:gridCol w:w="109"/>
        <w:gridCol w:w="109"/>
        <w:gridCol w:w="109"/>
        <w:gridCol w:w="109"/>
        <w:gridCol w:w="196"/>
        <w:gridCol w:w="871"/>
        <w:gridCol w:w="156"/>
      </w:tblGrid>
      <w:tr>
        <w:trPr/>
        <w:tc>
          <w:tcPr>
            <w:tcW w:w="273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 attributable to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Loss on the sale of Care.com, net of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Earnings from discontinued operations, net of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earnings (loss) attributable to continuing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earnings (loss) attributable to continuing operations to net cash provided by (used in) operating activities attributable to continuing operations: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in MGM Resorts International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an unutilized domain name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 (including right-of-use asset impairments)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downward adjustments to the carrying value of equity securities without readily determinable fair values and net gains on sales of investments and businesses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amendments and early terminations of lease agreements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effects of dispositions: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and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 attributable to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 attributable to continuing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the sale of Care.com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MGM Resorts International common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Angi Inc.'s cash in the Distribution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an unutilized domain name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the sales of investments and businesses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a portion of the retirement investment fund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investing activities attributable to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 attributable to continuing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the Term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(1,425,773)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the Term Loans refinancing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the 2032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and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behalf of employees on net settled stock-based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Angi Inc. pursuant to the tax sharing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 attributable to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cash provided by (used in) continuing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operating activities attributable to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 attributable to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 attributable to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cash (used in) provided by discontinued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and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1,103,459 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14 of 21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76300"/>
                <wp:effectExtent l="0" t="0" r="0" b="0"/>
                <wp:wrapNone/>
                <wp:docPr id="66" name="Frame65"/>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FULL YEAR 2026 OUTLOOK</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Please find below our full year 2026 outlook. People Incorporated builds businesses and creates shareholder value with a long-term perspective. As stewards of shareholder capital, we do not manage our businesses or optimize results on a quarterly basis and have long believed full year performance is the best indicator of progress along the path toward value creation. Our outlook reflects management’s current expectations and is subject to risks and uncertainties. Actual results may differ materially, and our expectations may not materialize as anticipated.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that caution in mind, here’s our current full year 2026 outlook:</w:t>
      </w:r>
    </w:p>
    <w:tbl>
      <w:tblPr>
        <w:tblW w:w="7439" w:type="dxa"/>
        <w:jc w:val="left"/>
        <w:tblInd w:w="0" w:type="dxa"/>
        <w:tblLayout w:type="fixed"/>
        <w:tblCellMar>
          <w:top w:w="28" w:type="dxa"/>
          <w:left w:w="28" w:type="dxa"/>
          <w:bottom w:w="28" w:type="dxa"/>
          <w:right w:w="28" w:type="dxa"/>
        </w:tblCellMar>
      </w:tblPr>
      <w:tblGrid>
        <w:gridCol w:w="2179"/>
        <w:gridCol w:w="1917"/>
        <w:gridCol w:w="1919"/>
        <w:gridCol w:w="417"/>
        <w:gridCol w:w="417"/>
        <w:gridCol w:w="590"/>
      </w:tblGrid>
      <w:tr>
        <w:trPr/>
        <w:tc>
          <w:tcPr>
            <w:tcW w:w="217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FY 2026 Outlook</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Adjusted EBITDA </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People Inc.</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$325-$355</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Adjusted EBITDA</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$255-$290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 xml:space="preserve">(a) </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(90-85)</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(30-25)</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(75-70)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costs, including certain severance and employee separation benefits</w:t>
            </w:r>
            <w:r>
              <w:rPr>
                <w:rFonts w:ascii="Times New Roman;serif" w:hAnsi="Times New Roman;serif"/>
                <w:b w:val="false"/>
                <w:color w:val="000000"/>
                <w:sz w:val="12"/>
              </w:rPr>
              <w:t>(b)</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(15-10)</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Transaction-related costs</w:t>
            </w:r>
            <w:r>
              <w:rPr>
                <w:rFonts w:ascii="Times New Roman;serif" w:hAnsi="Times New Roman;serif"/>
                <w:b w:val="false"/>
                <w:color w:val="000000"/>
                <w:sz w:val="12"/>
              </w:rPr>
              <w:t>(c)</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matters</w:t>
            </w:r>
            <w:r>
              <w:rPr>
                <w:rFonts w:ascii="Times New Roman;serif" w:hAnsi="Times New Roman;serif"/>
                <w:b w:val="false"/>
                <w:color w:val="000000"/>
                <w:sz w:val="12"/>
              </w:rPr>
              <w:t>(d)</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(20-15)</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income</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$15-$80</w:t>
            </w:r>
          </w:p>
        </w:tc>
      </w:tr>
    </w:tbl>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6"/>
        </w:rPr>
      </w:pPr>
      <w:r>
        <w:rPr>
          <w:rFonts w:ascii="Times New Roman;serif" w:hAnsi="Times New Roman;serif"/>
          <w:b w:val="false"/>
          <w:color w:val="000000"/>
          <w:sz w:val="16"/>
        </w:rPr>
        <w:t>(a) As a result of the Company consolidating its corporate functions with those of People Inc., the stock-based compensation expense range reflects an estimate of $48 million related to the acceleration and modification of employee awards.</w:t>
      </w:r>
    </w:p>
    <w:p>
      <w:pPr>
        <w:pStyle w:val="TextBody"/>
        <w:bidi w:val="0"/>
        <w:spacing w:lineRule="auto" w:line="360" w:before="0" w:after="0"/>
        <w:jc w:val="both"/>
        <w:rPr>
          <w:rFonts w:ascii="Times New Roman;serif" w:hAnsi="Times New Roman;serif"/>
          <w:b w:val="false"/>
          <w:color w:val="000000"/>
          <w:sz w:val="16"/>
        </w:rPr>
      </w:pPr>
      <w:r>
        <w:rPr>
          <w:rFonts w:ascii="Times New Roman;serif" w:hAnsi="Times New Roman;serif"/>
          <w:b w:val="false"/>
          <w:color w:val="000000"/>
          <w:sz w:val="16"/>
        </w:rPr>
        <w:t>(b) Primarily represents costs at Corporate related to a reduction in force as the Company consolidates its corporate function with those of People Inc.</w:t>
      </w:r>
    </w:p>
    <w:p>
      <w:pPr>
        <w:pStyle w:val="TextBody"/>
        <w:bidi w:val="0"/>
        <w:spacing w:lineRule="auto" w:line="360" w:before="0" w:after="0"/>
        <w:jc w:val="both"/>
        <w:rPr>
          <w:rFonts w:ascii="Times New Roman;serif" w:hAnsi="Times New Roman;serif"/>
          <w:b w:val="false"/>
          <w:color w:val="000000"/>
          <w:sz w:val="16"/>
        </w:rPr>
      </w:pPr>
      <w:r>
        <w:rPr>
          <w:rFonts w:ascii="Times New Roman;serif" w:hAnsi="Times New Roman;serif"/>
          <w:b w:val="false"/>
          <w:color w:val="000000"/>
          <w:sz w:val="16"/>
        </w:rPr>
        <w:t>(c) Primarily represents third-party costs at Corporate related to the sale of Care.com and other transaction-related costs.</w:t>
      </w:r>
    </w:p>
    <w:p>
      <w:pPr>
        <w:pStyle w:val="TextBody"/>
        <w:bidi w:val="0"/>
        <w:spacing w:lineRule="auto" w:line="360" w:before="0" w:after="0"/>
        <w:jc w:val="both"/>
        <w:rPr>
          <w:rFonts w:ascii="Times New Roman;serif" w:hAnsi="Times New Roman;serif"/>
          <w:b w:val="false"/>
          <w:color w:val="000000"/>
          <w:sz w:val="16"/>
        </w:rPr>
      </w:pPr>
      <w:r>
        <w:rPr>
          <w:rFonts w:ascii="Times New Roman;serif" w:hAnsi="Times New Roman;serif"/>
          <w:b w:val="false"/>
          <w:color w:val="000000"/>
          <w:sz w:val="16"/>
        </w:rPr>
        <w:t>(d) Primarily represents third-party costs at People Inc. Digital and People Inc. Other (unallocated corporate costs) primarily related to accruals for certain legal matters, including the antitrust litigation against Google Inc.</w:t>
      </w:r>
    </w:p>
    <w:p>
      <w:pPr>
        <w:pStyle w:val="TextBody"/>
        <w:bidi w:val="0"/>
        <w:spacing w:before="0" w:after="0"/>
        <w:jc w:val="left"/>
        <w:rPr/>
      </w:pPr>
      <w:r>
        <w:rPr/>
      </w:r>
    </w:p>
    <w:p>
      <w:pPr>
        <w:pStyle w:val="TextBody"/>
        <w:bidi w:val="0"/>
        <w:spacing w:lineRule="auto" w:line="360" w:before="0" w:after="6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Full Year 2026 Observations</w:t>
      </w:r>
    </w:p>
    <w:p>
      <w:pPr>
        <w:pStyle w:val="TextBody"/>
        <w:bidi w:val="0"/>
        <w:spacing w:lineRule="auto" w:line="312" w:before="0" w:after="180"/>
        <w:ind w:left="0" w:right="0" w:hanging="360"/>
        <w:jc w:val="both"/>
        <w:rPr/>
      </w:pPr>
      <w:r>
        <w:rPr>
          <w:color w:val="000000"/>
        </w:rPr>
        <w:t>•</w:t>
      </w:r>
      <w:r>
        <w:rPr>
          <w:rFonts w:ascii="Times New Roman;serif" w:hAnsi="Times New Roman;serif"/>
          <w:b w:val="false"/>
          <w:i/>
          <w:color w:val="000000"/>
          <w:sz w:val="20"/>
        </w:rPr>
        <w:t xml:space="preserve">People Inc. – </w:t>
      </w:r>
      <w:r>
        <w:rPr>
          <w:rFonts w:ascii="Times New Roman;serif" w:hAnsi="Times New Roman;serif"/>
          <w:b w:val="false"/>
          <w:color w:val="000000"/>
          <w:sz w:val="20"/>
        </w:rPr>
        <w:t>Expect both Digital revenue and Digital Adjusted EBITDA to grow mid-to-high</w:t>
      </w:r>
      <w:r>
        <w:rPr>
          <w:color w:val="000000"/>
        </w:rPr>
        <w:t xml:space="preserve"> </w:t>
      </w:r>
      <w:r>
        <w:rPr>
          <w:rFonts w:ascii="Times New Roman;serif" w:hAnsi="Times New Roman;serif"/>
          <w:b w:val="false"/>
          <w:color w:val="000000"/>
          <w:sz w:val="20"/>
        </w:rPr>
        <w:t xml:space="preserve">single-digits in 2026. Print Adjusted EBITDA expected to offset People Inc. Other (unallocated corporate costs). </w:t>
      </w:r>
    </w:p>
    <w:p>
      <w:pPr>
        <w:pStyle w:val="TextBody"/>
        <w:bidi w:val="0"/>
        <w:spacing w:lineRule="auto" w:line="312" w:before="0" w:after="180"/>
        <w:ind w:left="0" w:right="0" w:hanging="360"/>
        <w:jc w:val="left"/>
        <w:rPr/>
      </w:pPr>
      <w:r>
        <w:rPr>
          <w:color w:val="000000"/>
        </w:rPr>
        <w:t>•</w:t>
      </w:r>
      <w:r>
        <w:rPr>
          <w:rFonts w:ascii="Times New Roman;serif" w:hAnsi="Times New Roman;serif"/>
          <w:b w:val="false"/>
          <w:i/>
          <w:color w:val="000000"/>
          <w:sz w:val="20"/>
        </w:rPr>
        <w:t xml:space="preserve">Emerging &amp; Other </w:t>
      </w:r>
      <w:r>
        <w:rPr>
          <w:color w:val="000000"/>
        </w:rPr>
        <w:t xml:space="preserve">– </w:t>
      </w:r>
      <w:r>
        <w:rPr>
          <w:rFonts w:ascii="Times New Roman;serif" w:hAnsi="Times New Roman;serif"/>
          <w:b w:val="false"/>
          <w:color w:val="000000"/>
          <w:sz w:val="20"/>
        </w:rPr>
        <w:t>Revenue and Adjusted EBITDA growth driven by The Daily Beast and Vivian Health.</w:t>
      </w:r>
    </w:p>
    <w:p>
      <w:pPr>
        <w:pStyle w:val="TextBody"/>
        <w:bidi w:val="0"/>
        <w:spacing w:lineRule="auto" w:line="312" w:before="0" w:after="180"/>
        <w:ind w:left="0" w:right="0" w:hanging="360"/>
        <w:jc w:val="left"/>
        <w:rPr/>
      </w:pPr>
      <w:r>
        <w:rPr>
          <w:color w:val="000000"/>
        </w:rPr>
        <w:t>•</w:t>
      </w:r>
      <w:r>
        <w:rPr>
          <w:rFonts w:ascii="Times New Roman;serif" w:hAnsi="Times New Roman;serif"/>
          <w:b w:val="false"/>
          <w:i/>
          <w:color w:val="000000"/>
          <w:sz w:val="20"/>
        </w:rPr>
        <w:t>Corporate</w:t>
      </w:r>
      <w:r>
        <w:rPr>
          <w:color w:val="000000"/>
        </w:rPr>
        <w:t xml:space="preserve"> – </w:t>
      </w:r>
      <w:r>
        <w:rPr>
          <w:rFonts w:ascii="Times New Roman;serif" w:hAnsi="Times New Roman;serif"/>
          <w:b w:val="false"/>
          <w:color w:val="000000"/>
          <w:sz w:val="20"/>
        </w:rPr>
        <w:t>The Company’s consolidation of its corporate functions with People Inc. remains on track with estimated Corporate annual run-rate operating expense of approximately $45 million and annual stock-based compensation expense of approximately $30 million following the completion of the transition in Q1 2027. These figures are prior to any future reallocation of People Inc. leadership costs to the corporate level, which we expect to occur. However, any such shift in cost allocations would have no impact on expected consolidated savings.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15 of 21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76300"/>
                <wp:effectExtent l="0" t="0" r="0" b="0"/>
                <wp:wrapNone/>
                <wp:docPr id="67" name="Frame66"/>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i/>
          <w:color w:val="000000"/>
          <w:sz w:val="22"/>
        </w:rPr>
      </w:pPr>
      <w:r>
        <w:rPr>
          <w:rFonts w:ascii="Times New Roman;serif" w:hAnsi="Times New Roman;serif"/>
          <w:b/>
          <w:i/>
          <w:color w:val="000000"/>
          <w:sz w:val="22"/>
        </w:rPr>
        <w:t>RECONCILIATIONS OF GAAP TO NON-GAAP MEASURES</w:t>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 in millions; rounding differences may occur)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PEOPLE INCORPORATED RECONCILIATION OF OPERATING INCOME (LOSS) TO ADJUSTED EBITDA</w:t>
      </w:r>
    </w:p>
    <w:tbl>
      <w:tblPr>
        <w:tblW w:w="14492" w:type="dxa"/>
        <w:jc w:val="left"/>
        <w:tblInd w:w="0" w:type="dxa"/>
        <w:tblLayout w:type="fixed"/>
        <w:tblCellMar>
          <w:top w:w="28" w:type="dxa"/>
          <w:left w:w="28" w:type="dxa"/>
          <w:bottom w:w="28" w:type="dxa"/>
          <w:right w:w="28" w:type="dxa"/>
        </w:tblCellMar>
      </w:tblPr>
      <w:tblGrid>
        <w:gridCol w:w="352"/>
        <w:gridCol w:w="310"/>
        <w:gridCol w:w="314"/>
        <w:gridCol w:w="220"/>
        <w:gridCol w:w="542"/>
        <w:gridCol w:w="124"/>
        <w:gridCol w:w="109"/>
        <w:gridCol w:w="109"/>
        <w:gridCol w:w="109"/>
        <w:gridCol w:w="312"/>
        <w:gridCol w:w="744"/>
        <w:gridCol w:w="175"/>
        <w:gridCol w:w="109"/>
        <w:gridCol w:w="109"/>
        <w:gridCol w:w="109"/>
        <w:gridCol w:w="311"/>
        <w:gridCol w:w="596"/>
        <w:gridCol w:w="174"/>
        <w:gridCol w:w="109"/>
        <w:gridCol w:w="109"/>
        <w:gridCol w:w="109"/>
        <w:gridCol w:w="286"/>
        <w:gridCol w:w="680"/>
        <w:gridCol w:w="160"/>
        <w:gridCol w:w="109"/>
        <w:gridCol w:w="109"/>
        <w:gridCol w:w="109"/>
        <w:gridCol w:w="109"/>
        <w:gridCol w:w="109"/>
        <w:gridCol w:w="109"/>
        <w:gridCol w:w="109"/>
        <w:gridCol w:w="341"/>
        <w:gridCol w:w="654"/>
        <w:gridCol w:w="191"/>
        <w:gridCol w:w="109"/>
        <w:gridCol w:w="109"/>
        <w:gridCol w:w="109"/>
        <w:gridCol w:w="442"/>
        <w:gridCol w:w="917"/>
        <w:gridCol w:w="247"/>
        <w:gridCol w:w="109"/>
        <w:gridCol w:w="109"/>
        <w:gridCol w:w="109"/>
        <w:gridCol w:w="446"/>
        <w:gridCol w:w="925"/>
        <w:gridCol w:w="250"/>
        <w:gridCol w:w="109"/>
        <w:gridCol w:w="109"/>
        <w:gridCol w:w="109"/>
        <w:gridCol w:w="246"/>
        <w:gridCol w:w="472"/>
        <w:gridCol w:w="138"/>
        <w:gridCol w:w="109"/>
        <w:gridCol w:w="109"/>
        <w:gridCol w:w="109"/>
        <w:gridCol w:w="209"/>
        <w:gridCol w:w="497"/>
        <w:gridCol w:w="16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5"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2026</w:t>
            </w:r>
          </w:p>
        </w:tc>
        <w:tc>
          <w:tcPr>
            <w:tcW w:w="2381" w:type="dxa"/>
            <w:gridSpan w:val="12"/>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Restructuring Costs, Including Certain Severance and Employee Separation Benefits</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(Gains) and Losses from Lease Impairments, Terminations and Amendments and Certain Asset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Litigation Matters</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People Inc.</w:t>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(unallocated corporate costs)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14042" w:type="dxa"/>
        <w:jc w:val="left"/>
        <w:tblInd w:w="0" w:type="dxa"/>
        <w:tblLayout w:type="fixed"/>
        <w:tblCellMar>
          <w:top w:w="28" w:type="dxa"/>
          <w:left w:w="28" w:type="dxa"/>
          <w:bottom w:w="28" w:type="dxa"/>
          <w:right w:w="28" w:type="dxa"/>
        </w:tblCellMar>
      </w:tblPr>
      <w:tblGrid>
        <w:gridCol w:w="352"/>
        <w:gridCol w:w="310"/>
        <w:gridCol w:w="314"/>
        <w:gridCol w:w="225"/>
        <w:gridCol w:w="535"/>
        <w:gridCol w:w="126"/>
        <w:gridCol w:w="109"/>
        <w:gridCol w:w="109"/>
        <w:gridCol w:w="109"/>
        <w:gridCol w:w="312"/>
        <w:gridCol w:w="744"/>
        <w:gridCol w:w="175"/>
        <w:gridCol w:w="109"/>
        <w:gridCol w:w="109"/>
        <w:gridCol w:w="109"/>
        <w:gridCol w:w="311"/>
        <w:gridCol w:w="596"/>
        <w:gridCol w:w="174"/>
        <w:gridCol w:w="109"/>
        <w:gridCol w:w="109"/>
        <w:gridCol w:w="109"/>
        <w:gridCol w:w="286"/>
        <w:gridCol w:w="680"/>
        <w:gridCol w:w="160"/>
        <w:gridCol w:w="109"/>
        <w:gridCol w:w="109"/>
        <w:gridCol w:w="109"/>
        <w:gridCol w:w="109"/>
        <w:gridCol w:w="109"/>
        <w:gridCol w:w="109"/>
        <w:gridCol w:w="109"/>
        <w:gridCol w:w="341"/>
        <w:gridCol w:w="654"/>
        <w:gridCol w:w="191"/>
        <w:gridCol w:w="109"/>
        <w:gridCol w:w="109"/>
        <w:gridCol w:w="109"/>
        <w:gridCol w:w="318"/>
        <w:gridCol w:w="660"/>
        <w:gridCol w:w="178"/>
        <w:gridCol w:w="109"/>
        <w:gridCol w:w="109"/>
        <w:gridCol w:w="109"/>
        <w:gridCol w:w="446"/>
        <w:gridCol w:w="925"/>
        <w:gridCol w:w="250"/>
        <w:gridCol w:w="109"/>
        <w:gridCol w:w="109"/>
        <w:gridCol w:w="109"/>
        <w:gridCol w:w="235"/>
        <w:gridCol w:w="488"/>
        <w:gridCol w:w="133"/>
        <w:gridCol w:w="109"/>
        <w:gridCol w:w="109"/>
        <w:gridCol w:w="109"/>
        <w:gridCol w:w="209"/>
        <w:gridCol w:w="497"/>
        <w:gridCol w:w="16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5"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2381" w:type="dxa"/>
            <w:gridSpan w:val="12"/>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Restructuring Costs, Including Certain Severance and Employee Separation Benefits</w:t>
            </w:r>
            <w:r>
              <w:rPr>
                <w:rFonts w:ascii="Times New Roman;serif" w:hAnsi="Times New Roman;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(Gains) and Losses from Lease Impairments, Terminations and Amendments and Certain Asset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Litigation Matters</w:t>
            </w:r>
            <w:r>
              <w:rPr>
                <w:rFonts w:ascii="Times New Roman;serif" w:hAnsi="Times New Roman;serif"/>
                <w:b/>
                <w:color w:val="000000"/>
                <w:sz w:val="12"/>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(unallocated corporate costs)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16 of 21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76300"/>
                <wp:effectExtent l="0" t="0" r="0" b="0"/>
                <wp:wrapNone/>
                <wp:docPr id="68" name="Frame67"/>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80" w:after="60"/>
        <w:jc w:val="center"/>
        <w:rPr>
          <w:rFonts w:ascii="Times New Roman;serif" w:hAnsi="Times New Roman;serif"/>
          <w:b/>
          <w:i/>
          <w:color w:val="000000"/>
          <w:sz w:val="22"/>
        </w:rPr>
      </w:pPr>
      <w:r>
        <w:rPr>
          <w:rFonts w:ascii="Times New Roman;serif" w:hAnsi="Times New Roman;serif"/>
          <w:b/>
          <w:i/>
          <w:color w:val="000000"/>
          <w:sz w:val="22"/>
        </w:rPr>
        <w:t>RECONCILIATIONS OF GAAP TO NON-GAAP MEASURES</w:t>
      </w:r>
    </w:p>
    <w:p>
      <w:pPr>
        <w:pStyle w:val="TextBody"/>
        <w:bidi w:val="0"/>
        <w:spacing w:lineRule="auto" w:line="288" w:before="0" w:after="60"/>
        <w:jc w:val="center"/>
        <w:rPr>
          <w:rFonts w:ascii="Times New Roman;serif" w:hAnsi="Times New Roman;serif"/>
          <w:b/>
          <w:i/>
          <w:color w:val="000000"/>
          <w:sz w:val="20"/>
        </w:rPr>
      </w:pPr>
      <w:r>
        <w:rPr>
          <w:rFonts w:ascii="Times New Roman;serif" w:hAnsi="Times New Roman;serif"/>
          <w:b/>
          <w:i/>
          <w:color w:val="000000"/>
          <w:sz w:val="20"/>
        </w:rPr>
        <w:t>($ in millions; rounding differences may occur)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PEOPLE INCORPORATED RECONCILIATION OF OPERATING INCOME (LOSS) TO ADJUSTED EBITDA </w:t>
      </w:r>
    </w:p>
    <w:tbl>
      <w:tblPr>
        <w:tblW w:w="14077" w:type="dxa"/>
        <w:jc w:val="left"/>
        <w:tblInd w:w="0" w:type="dxa"/>
        <w:tblLayout w:type="fixed"/>
        <w:tblCellMar>
          <w:top w:w="28" w:type="dxa"/>
          <w:left w:w="28" w:type="dxa"/>
          <w:bottom w:w="28" w:type="dxa"/>
          <w:right w:w="28" w:type="dxa"/>
        </w:tblCellMar>
      </w:tblPr>
      <w:tblGrid>
        <w:gridCol w:w="352"/>
        <w:gridCol w:w="310"/>
        <w:gridCol w:w="314"/>
        <w:gridCol w:w="220"/>
        <w:gridCol w:w="542"/>
        <w:gridCol w:w="124"/>
        <w:gridCol w:w="109"/>
        <w:gridCol w:w="109"/>
        <w:gridCol w:w="109"/>
        <w:gridCol w:w="312"/>
        <w:gridCol w:w="744"/>
        <w:gridCol w:w="175"/>
        <w:gridCol w:w="109"/>
        <w:gridCol w:w="109"/>
        <w:gridCol w:w="109"/>
        <w:gridCol w:w="274"/>
        <w:gridCol w:w="653"/>
        <w:gridCol w:w="154"/>
        <w:gridCol w:w="109"/>
        <w:gridCol w:w="109"/>
        <w:gridCol w:w="109"/>
        <w:gridCol w:w="286"/>
        <w:gridCol w:w="680"/>
        <w:gridCol w:w="160"/>
        <w:gridCol w:w="109"/>
        <w:gridCol w:w="109"/>
        <w:gridCol w:w="109"/>
        <w:gridCol w:w="109"/>
        <w:gridCol w:w="109"/>
        <w:gridCol w:w="109"/>
        <w:gridCol w:w="109"/>
        <w:gridCol w:w="301"/>
        <w:gridCol w:w="716"/>
        <w:gridCol w:w="169"/>
        <w:gridCol w:w="109"/>
        <w:gridCol w:w="109"/>
        <w:gridCol w:w="109"/>
        <w:gridCol w:w="318"/>
        <w:gridCol w:w="660"/>
        <w:gridCol w:w="178"/>
        <w:gridCol w:w="109"/>
        <w:gridCol w:w="109"/>
        <w:gridCol w:w="109"/>
        <w:gridCol w:w="446"/>
        <w:gridCol w:w="925"/>
        <w:gridCol w:w="250"/>
        <w:gridCol w:w="109"/>
        <w:gridCol w:w="109"/>
        <w:gridCol w:w="109"/>
        <w:gridCol w:w="246"/>
        <w:gridCol w:w="472"/>
        <w:gridCol w:w="138"/>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5"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2416" w:type="dxa"/>
            <w:gridSpan w:val="12"/>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Restructuring Costs, Including Certain Severance and Employee Separation Benefits</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(Gains) and Losses from Lease Impairments, Terminations and Amendments and Certain Asset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Transaction-related Costs</w:t>
            </w:r>
            <w:r>
              <w:rPr>
                <w:rFonts w:ascii="Times New Roman;serif" w:hAnsi="Times New Roman;serif"/>
                <w:b/>
                <w:color w:val="000000"/>
                <w:sz w:val="12"/>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Litigation Matters</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(unallocated corporate costs)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077" w:type="dxa"/>
        <w:jc w:val="left"/>
        <w:tblInd w:w="0" w:type="dxa"/>
        <w:tblLayout w:type="fixed"/>
        <w:tblCellMar>
          <w:top w:w="28" w:type="dxa"/>
          <w:left w:w="28" w:type="dxa"/>
          <w:bottom w:w="28" w:type="dxa"/>
          <w:right w:w="28" w:type="dxa"/>
        </w:tblCellMar>
      </w:tblPr>
      <w:tblGrid>
        <w:gridCol w:w="352"/>
        <w:gridCol w:w="310"/>
        <w:gridCol w:w="314"/>
        <w:gridCol w:w="225"/>
        <w:gridCol w:w="535"/>
        <w:gridCol w:w="126"/>
        <w:gridCol w:w="109"/>
        <w:gridCol w:w="109"/>
        <w:gridCol w:w="109"/>
        <w:gridCol w:w="346"/>
        <w:gridCol w:w="691"/>
        <w:gridCol w:w="194"/>
        <w:gridCol w:w="109"/>
        <w:gridCol w:w="109"/>
        <w:gridCol w:w="109"/>
        <w:gridCol w:w="274"/>
        <w:gridCol w:w="653"/>
        <w:gridCol w:w="154"/>
        <w:gridCol w:w="109"/>
        <w:gridCol w:w="109"/>
        <w:gridCol w:w="109"/>
        <w:gridCol w:w="286"/>
        <w:gridCol w:w="680"/>
        <w:gridCol w:w="160"/>
        <w:gridCol w:w="109"/>
        <w:gridCol w:w="109"/>
        <w:gridCol w:w="109"/>
        <w:gridCol w:w="109"/>
        <w:gridCol w:w="109"/>
        <w:gridCol w:w="109"/>
        <w:gridCol w:w="109"/>
        <w:gridCol w:w="301"/>
        <w:gridCol w:w="716"/>
        <w:gridCol w:w="169"/>
        <w:gridCol w:w="109"/>
        <w:gridCol w:w="109"/>
        <w:gridCol w:w="109"/>
        <w:gridCol w:w="288"/>
        <w:gridCol w:w="707"/>
        <w:gridCol w:w="161"/>
        <w:gridCol w:w="109"/>
        <w:gridCol w:w="109"/>
        <w:gridCol w:w="109"/>
        <w:gridCol w:w="446"/>
        <w:gridCol w:w="925"/>
        <w:gridCol w:w="250"/>
        <w:gridCol w:w="109"/>
        <w:gridCol w:w="109"/>
        <w:gridCol w:w="109"/>
        <w:gridCol w:w="217"/>
        <w:gridCol w:w="517"/>
        <w:gridCol w:w="122"/>
        <w:gridCol w:w="109"/>
        <w:gridCol w:w="109"/>
        <w:gridCol w:w="109"/>
        <w:gridCol w:w="196"/>
        <w:gridCol w:w="556"/>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5"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2416" w:type="dxa"/>
            <w:gridSpan w:val="12"/>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Stock-based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Compensation</w:t>
            </w:r>
          </w:p>
          <w:p>
            <w:pPr>
              <w:pStyle w:val="TableContents"/>
              <w:bidi w:val="0"/>
              <w:spacing w:lineRule="auto" w:line="240" w:before="0" w:after="0"/>
              <w:jc w:val="center"/>
              <w:rPr/>
            </w:pPr>
            <w:r>
              <w:rPr>
                <w:rFonts w:ascii="Times New Roman;serif" w:hAnsi="Times New Roman;serif"/>
                <w:b/>
                <w:color w:val="000000"/>
                <w:sz w:val="18"/>
              </w:rPr>
              <w:t>Expense</w:t>
            </w:r>
            <w:r>
              <w:rPr>
                <w:rFonts w:ascii="Times New Roman;serif" w:hAnsi="Times New Roman;serif"/>
                <w:b/>
                <w:color w:val="000000"/>
                <w:sz w:val="12"/>
              </w:rPr>
              <w:t>(f)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Restructuring Costs, Including Certain Severance and Employee Separation Benefits</w:t>
            </w:r>
            <w:r>
              <w:rPr>
                <w:rFonts w:ascii="Times New Roman;serif" w:hAnsi="Times New Roman;serif"/>
                <w:b/>
                <w:color w:val="000000"/>
                <w:sz w:val="12"/>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(Gains) and Losses from Lease Impairments, Terminations and Amendments and Certain Asset Sales</w:t>
            </w:r>
            <w:r>
              <w:rPr>
                <w:rFonts w:ascii="Times New Roman;serif" w:hAnsi="Times New Roman;serif"/>
                <w:b/>
                <w:color w:val="000000"/>
                <w:sz w:val="12"/>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Transaction-related Costs</w:t>
            </w:r>
            <w:r>
              <w:rPr>
                <w:rFonts w:ascii="Times New Roman;serif" w:hAnsi="Times New Roman;serif"/>
                <w:b/>
                <w:color w:val="000000"/>
                <w:sz w:val="12"/>
              </w:rPr>
              <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Litigation Matters</w:t>
            </w:r>
            <w:r>
              <w:rPr>
                <w:rFonts w:ascii="Times New Roman;serif" w:hAnsi="Times New Roman;serif"/>
                <w:b/>
                <w:color w:val="000000"/>
                <w:sz w:val="12"/>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(unallocated corporate costs)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17 of 21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76300"/>
                <wp:effectExtent l="0" t="0" r="0" b="0"/>
                <wp:wrapNone/>
                <wp:docPr id="69" name="Frame68"/>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(a)    </w:t>
      </w:r>
      <w:r>
        <w:rPr>
          <w:rFonts w:ascii="Times New Roman;serif" w:hAnsi="Times New Roman;serif"/>
          <w:b w:val="false"/>
          <w:color w:val="000000"/>
          <w:sz w:val="16"/>
        </w:rPr>
        <w:t>The three and six months ended June 30, 2026 at Corporate principally represents costs related to a reduction in force as the Company consolidates its corporate function with those of People Inc</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(b)    </w:t>
      </w:r>
      <w:r>
        <w:rPr>
          <w:rFonts w:ascii="Times New Roman;serif" w:hAnsi="Times New Roman;serif"/>
          <w:b w:val="false"/>
          <w:color w:val="000000"/>
          <w:sz w:val="16"/>
        </w:rPr>
        <w:t>The three and six months ended June 30, 2026 at People Inc. Digital and People Inc. Other (unallocated corporate costs) represents third-party costs primarily related to accruals for certain legal matters, including the antitrust litigation against Google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0"/>
        </w:rPr>
        <w:t>(c)    </w:t>
      </w:r>
      <w:r>
        <w:rPr>
          <w:rFonts w:ascii="Times New Roman;serif" w:hAnsi="Times New Roman;serif"/>
          <w:b w:val="false"/>
          <w:color w:val="000000"/>
          <w:sz w:val="16"/>
        </w:rPr>
        <w:t>The three and six months ended June 30, 2025 at Corporate primarily represents separation benefits to our former CEO under his employment transition agreement.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The three and six months ended June 30, 2025 at Emerging &amp; Other represents third-party costs related to litigation that concluded in the third quarter of 2025 related to a legacy business.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The six months ended June 30, 2026 at Corporate includes third-party costs related to the sale of Care.com on March 16, 2026 and other transaction-related costs.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The six months ended June 30, 2025 at Corporate reflect the reversal of $49.8 million of previously recognized stock-based compensation expense related to the forfeiture of our former CEO’s restricted stock award pursuant to the Employment Transition Agreement, partially offset by $14.9 million of stock-based compensation expense related to the transfer of 5.0 million Class B shares of Angi held by the Company to our former CEO prior to the Distribution pursuant to his employment transition agreement.</w:t>
      </w:r>
    </w:p>
    <w:p>
      <w:pPr>
        <w:pStyle w:val="TextBody"/>
        <w:bidi w:val="0"/>
        <w:spacing w:lineRule="auto" w:line="268" w:before="120" w:after="240"/>
        <w:ind w:left="0" w:right="0" w:hanging="360"/>
        <w:jc w:val="left"/>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The six months ended June 30, 2025 at People Inc. Other (unallocated corporate costs) is principally related to a gain resulting from an amendment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w:t>
      </w:r>
    </w:p>
    <w:p>
      <w:pPr>
        <w:pStyle w:val="TextBody"/>
        <w:bidi w:val="0"/>
        <w:spacing w:lineRule="auto" w:line="268" w:before="120" w:after="240"/>
        <w:ind w:left="0" w:right="0" w:hanging="360"/>
        <w:jc w:val="left"/>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The six months ended June 30, 2025 represents third-party costs related to the spin-off of Angi Inc.</w:t>
      </w:r>
    </w:p>
    <w:p>
      <w:pPr>
        <w:pStyle w:val="TextBody"/>
        <w:bidi w:val="0"/>
        <w:spacing w:lineRule="auto" w:line="288" w:before="480" w:after="240"/>
        <w:jc w:val="center"/>
        <w:rPr>
          <w:rFonts w:ascii="Times New Roman;serif" w:hAnsi="Times New Roman;serif"/>
          <w:b/>
          <w:color w:val="000000"/>
          <w:sz w:val="20"/>
        </w:rPr>
      </w:pPr>
      <w:r>
        <w:rPr>
          <w:rFonts w:ascii="Times New Roman;serif" w:hAnsi="Times New Roman;serif"/>
          <w:b/>
          <w:color w:val="000000"/>
          <w:sz w:val="20"/>
        </w:rPr>
        <w:t>PEOPLE INC. DIGITAL OPERATING INCOME MARGIN TO DIGITAL ADJUSTED EBITDA MARGIN RECONCILIATION</w:t>
      </w:r>
    </w:p>
    <w:tbl>
      <w:tblPr>
        <w:tblW w:w="8281" w:type="dxa"/>
        <w:jc w:val="left"/>
        <w:tblInd w:w="0" w:type="dxa"/>
        <w:tblLayout w:type="fixed"/>
        <w:tblCellMar>
          <w:top w:w="28" w:type="dxa"/>
          <w:left w:w="28" w:type="dxa"/>
          <w:bottom w:w="28" w:type="dxa"/>
          <w:right w:w="28" w:type="dxa"/>
        </w:tblCellMar>
      </w:tblPr>
      <w:tblGrid>
        <w:gridCol w:w="2127"/>
        <w:gridCol w:w="1868"/>
        <w:gridCol w:w="1870"/>
        <w:gridCol w:w="260"/>
        <w:gridCol w:w="260"/>
        <w:gridCol w:w="611"/>
        <w:gridCol w:w="260"/>
        <w:gridCol w:w="260"/>
        <w:gridCol w:w="611"/>
        <w:gridCol w:w="154"/>
      </w:tblGrid>
      <w:tr>
        <w:trPr/>
        <w:tc>
          <w:tcPr>
            <w:tcW w:w="212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Revenue</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Operating Income</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Digital Operating Income Margin</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including certain severance and employee separation benefits</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matters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Adjusted EBITDA</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$74.5</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Digital Adjusted EBITDA margin</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26 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18 of 21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76300"/>
                <wp:effectExtent l="0" t="0" r="0" b="0"/>
                <wp:wrapNone/>
                <wp:docPr id="70" name="Frame69"/>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PRINCIPLES OF FINANCIAL REPORTING</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19"/>
        </w:rPr>
      </w:pPr>
      <w:r>
        <w:rPr>
          <w:rFonts w:ascii="Times New Roman;serif" w:hAnsi="Times New Roman;serif"/>
          <w:b w:val="false"/>
          <w:color w:val="000000"/>
          <w:sz w:val="19"/>
        </w:rPr>
        <w:t>People Incorporated reports Adjusted EBITDA and Free Cash Flow, which are supplemental measures to U.S. generally accepted accounting principles (“GAAP”). Adjusted EBITDA is our primary segment measure of profitability; it and Free Cash Flow are among the metrics by which we evaluate the performance of our businesses, and our internal budgets are based and may also impact management compensation. We believe that investors and analysts should have access to, and we are obligated to provide, the same set of tools that we use in analyzing our results. These non-GAAP measures should be considered in addition to results prepared in accordance with GAAP but should not be considered a substitute for or superior to GAAP results. People Incorporated endeavors to compensate for the limitations of the non-GAAP measures presented by providing the comparable GAAP measures with equal or greater prominence and descriptions of the reconciling items, including quantifying such items, to derive the non-GAAP measures. We encourage investors to examine the reconciling adjustments between the GAAP and non-GAAP measures, which are included in this release. Interim results are not necessarily indicative of the results that may be expected for a full year.</w:t>
      </w:r>
    </w:p>
    <w:p>
      <w:pPr>
        <w:pStyle w:val="TextBody"/>
        <w:bidi w:val="0"/>
        <w:spacing w:before="0" w:after="0"/>
        <w:ind w:left="0" w:right="0" w:hanging="90"/>
        <w:jc w:val="left"/>
        <w:rPr/>
      </w:pPr>
      <w:r>
        <w:rPr/>
      </w:r>
    </w:p>
    <w:p>
      <w:pPr>
        <w:pStyle w:val="TextBody"/>
        <w:bidi w:val="0"/>
        <w:spacing w:lineRule="auto" w:line="268" w:before="0" w:after="0"/>
        <w:jc w:val="left"/>
        <w:rPr>
          <w:rFonts w:ascii="Times New Roman;serif" w:hAnsi="Times New Roman;serif"/>
          <w:b/>
          <w:i/>
          <w:color w:val="000000"/>
          <w:sz w:val="19"/>
        </w:rPr>
      </w:pPr>
      <w:r>
        <w:rPr>
          <w:rFonts w:ascii="Times New Roman;serif" w:hAnsi="Times New Roman;serif"/>
          <w:b/>
          <w:i/>
          <w:color w:val="000000"/>
          <w:sz w:val="19"/>
        </w:rPr>
        <w:t>Definitions of Non-GAAP Measures</w:t>
      </w:r>
    </w:p>
    <w:p>
      <w:pPr>
        <w:pStyle w:val="TextBody"/>
        <w:bidi w:val="0"/>
        <w:spacing w:before="0" w:after="0"/>
        <w:ind w:left="0" w:right="0" w:hanging="9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u w:val="single"/>
        </w:rPr>
        <w:t>Adjusted EBITDA (Earnings Before Interest, Taxes, Depreciation and Amortization)</w:t>
      </w:r>
      <w:r>
        <w:rPr>
          <w:color w:val="000000"/>
        </w:rPr>
        <w:t xml:space="preserve"> </w:t>
      </w:r>
      <w:r>
        <w:rPr>
          <w:rFonts w:ascii="Times New Roman;serif" w:hAnsi="Times New Roman;serif"/>
          <w:b w:val="false"/>
          <w:color w:val="000000"/>
          <w:sz w:val="19"/>
        </w:rPr>
        <w:t>is defined as operating income excluding: (1) stock-based 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People Incorporated’s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9"/>
        </w:rPr>
      </w:pPr>
      <w:r>
        <w:rPr>
          <w:rFonts w:ascii="Times New Roman;serif" w:hAnsi="Times New Roman;serif"/>
          <w:b w:val="false"/>
          <w:color w:val="000000"/>
          <w:sz w:val="19"/>
        </w:rPr>
        <w:t>The above items are excluded from our Adjusted EBITDA measure because these items are noncash in nature, or because the amount and timing of these items is unpredictable, not driven by core operating results and render comparisons with prior periods and competitors less meaningful. Management uses Adjusted EBITDA to evaluate People Incorporated’s performance and facilitate comparisons of the People Incorporated’s operating results between periods. We believe Adjusted EBITDA is a useful measure for analysts and investors to evaluate our future on-going performance as this measure allows a more meaningful comparison of our performance and projected cash earnings with our historical results from prior periods and to the results of our competitors. Moreover, our management uses this measure internally to evaluate the performance of our business as a whole and our individual business segments. Adjusted EBITDA has certain limitations because it excludes the impact of these items.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9"/>
        </w:rPr>
      </w:pPr>
      <w:r>
        <w:rPr>
          <w:rFonts w:ascii="Times New Roman;serif" w:hAnsi="Times New Roman;serif"/>
          <w:b w:val="false"/>
          <w:color w:val="000000"/>
          <w:sz w:val="19"/>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People Incorporated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for prior periods has been recast to conform to the current period presentation.</w:t>
      </w:r>
    </w:p>
    <w:p>
      <w:pPr>
        <w:pStyle w:val="TextBody"/>
        <w:bidi w:val="0"/>
        <w:spacing w:before="0" w:after="0"/>
        <w:ind w:left="0" w:right="0" w:hanging="90"/>
        <w:jc w:val="both"/>
        <w:rPr/>
      </w:pPr>
      <w:r>
        <w:rPr/>
      </w:r>
    </w:p>
    <w:p>
      <w:pPr>
        <w:pStyle w:val="TextBody"/>
        <w:bidi w:val="0"/>
        <w:spacing w:lineRule="auto" w:line="268" w:before="0" w:after="0"/>
        <w:jc w:val="both"/>
        <w:rPr/>
      </w:pPr>
      <w:r>
        <w:rPr>
          <w:rFonts w:ascii="Times New Roman;serif" w:hAnsi="Times New Roman;serif"/>
          <w:b w:val="false"/>
          <w:color w:val="000000"/>
          <w:sz w:val="19"/>
          <w:u w:val="single"/>
        </w:rPr>
        <w:t>Free Cash Flow</w:t>
      </w:r>
      <w:r>
        <w:rPr>
          <w:color w:val="000000"/>
        </w:rPr>
        <w:t xml:space="preserve"> </w:t>
      </w:r>
      <w:r>
        <w:rPr>
          <w:rFonts w:ascii="Times New Roman;serif" w:hAnsi="Times New Roman;serif"/>
          <w:b w:val="false"/>
          <w:color w:val="000000"/>
          <w:sz w:val="19"/>
        </w:rPr>
        <w:t xml:space="preserve">is defined as net cash provided by operating activities attributable to continuing operations, less capital expenditures. We believe Free Cash Flow is useful to analysts and investors because it represents the cash that our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stock repurchases. Therefore, we think it is important to evaluate Free Cash Flow along with our consolidated statement of cash flows.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9"/>
        </w:rPr>
      </w:pPr>
      <w:r>
        <w:rPr>
          <w:rFonts w:ascii="Times New Roman;serif" w:hAnsi="Times New Roman;serif"/>
          <w:b/>
          <w:color w:val="000000"/>
          <w:sz w:val="19"/>
        </w:rPr>
        <w:t>Non-Cash Expenses That Are Excluded from Adjusted EBITDA</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9"/>
          <w:u w:val="single"/>
        </w:rPr>
        <w:t>Stock-based compensation expense</w:t>
      </w:r>
      <w:r>
        <w:rPr>
          <w:color w:val="000000"/>
        </w:rPr>
        <w:t xml:space="preserve"> </w:t>
      </w:r>
      <w:r>
        <w:rPr>
          <w:rFonts w:ascii="Times New Roman;serif" w:hAnsi="Times New Roman;serif"/>
          <w:b w:val="false"/>
          <w:color w:val="000000"/>
          <w:sz w:val="19"/>
        </w:rPr>
        <w:t>consists principally of expense associated with awards that were granted under various stock and annual incentive plans that are denominated in People Incorporated’s common shares. This expense is not paid in cash and we view the economic costs of stock-based awards to be the dilution to our share base; the related shares are included in our fully diluted shares outstanding for GAAP earnings per share using the treasury stock method. People Incorporated currently settles all stock-based awards on a net basis whereby People Incorporated remits from its current funds the required tax-withholding on behalf of employees for net-settled awards.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9"/>
        </w:rPr>
        <w:t xml:space="preserve">Please see page </w:t>
      </w:r>
      <w:hyperlink w:anchor="i71092fe32081413081cb64478a9e9294_13">
        <w:r>
          <w:rPr>
            <w:rStyle w:val="InternetLink"/>
            <w:rFonts w:ascii="Times New Roman;serif" w:hAnsi="Times New Roman;serif"/>
            <w:b w:val="false"/>
            <w:color w:val="0000FF"/>
            <w:sz w:val="19"/>
            <w:u w:val="single"/>
          </w:rPr>
          <w:t>10</w:t>
        </w:r>
      </w:hyperlink>
      <w:r>
        <w:rPr>
          <w:color w:val="000000"/>
        </w:rPr>
        <w:t xml:space="preserve"> </w:t>
      </w:r>
      <w:r>
        <w:rPr>
          <w:rFonts w:ascii="Times New Roman;serif" w:hAnsi="Times New Roman;serif"/>
          <w:b w:val="false"/>
          <w:color w:val="000000"/>
          <w:sz w:val="19"/>
        </w:rPr>
        <w:t xml:space="preserve">for a summary of our dilutive securities, including stock-based awards as of July 31, 2026, and a description of the calculation methodology.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9"/>
          <w:u w:val="single"/>
        </w:rPr>
        <w:t>Depreciation</w:t>
      </w:r>
      <w:r>
        <w:rPr>
          <w:color w:val="000000"/>
        </w:rPr>
        <w:t xml:space="preserve"> </w:t>
      </w:r>
      <w:r>
        <w:rPr>
          <w:rFonts w:ascii="Times New Roman;serif" w:hAnsi="Times New Roman;serif"/>
          <w:b w:val="false"/>
          <w:color w:val="000000"/>
          <w:sz w:val="19"/>
        </w:rPr>
        <w:t>is a non-cash expense relating to our buildings, equipment, leasehold improvements and capitalized software and is computed using the straight-line method to allocate the cost of depreciable assets to operations over their estimated useful lives, or, in the case of leasehold improvements, the lease term, if shorter.</w:t>
      </w:r>
    </w:p>
    <w:p>
      <w:pPr>
        <w:pStyle w:val="TextBody"/>
        <w:bidi w:val="0"/>
        <w:spacing w:before="0" w:after="0"/>
        <w:jc w:val="left"/>
        <w:rPr/>
      </w:pPr>
      <w:r>
        <w:rPr/>
      </w:r>
    </w:p>
    <w:p>
      <w:pPr>
        <w:pStyle w:val="TextBody"/>
        <w:bidi w:val="0"/>
        <w:spacing w:lineRule="auto" w:line="268"/>
        <w:jc w:val="both"/>
        <w:rPr/>
      </w:pPr>
      <w:r>
        <w:rPr>
          <w:rFonts w:ascii="Times New Roman;serif" w:hAnsi="Times New Roman;serif"/>
          <w:b w:val="false"/>
          <w:color w:val="000000"/>
          <w:sz w:val="19"/>
          <w:u w:val="single"/>
        </w:rPr>
        <w:t>Amortization of intangible assets and impairments of goodwill and intangible assets</w:t>
      </w:r>
      <w:r>
        <w:rPr>
          <w:color w:val="000000"/>
        </w:rPr>
        <w:t xml:space="preserve"> </w:t>
      </w:r>
      <w:r>
        <w:rPr>
          <w:rFonts w:ascii="Times New Roman;serif" w:hAnsi="Times New Roman;serif"/>
          <w:b w:val="false"/>
          <w:color w:val="000000"/>
          <w:sz w:val="19"/>
        </w:rPr>
        <w:t xml:space="preserve">are non-cash expenses related primarily to acquisitions. At the time of acquisition, the identifiable definite-lived intangible assets of the acquired company are valued and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19 of 21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76300"/>
                <wp:effectExtent l="0" t="0" r="0" b="0"/>
                <wp:wrapNone/>
                <wp:docPr id="71" name="Frame70"/>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9"/>
          <w:u w:val="single"/>
        </w:rPr>
        <w:t>Gains and losses recognized on changes in the fair value of contingent consideration arrangements</w:t>
      </w:r>
      <w:r>
        <w:rPr>
          <w:color w:val="000000"/>
        </w:rPr>
        <w:t xml:space="preserve"> </w:t>
      </w:r>
      <w:r>
        <w:rPr>
          <w:rFonts w:ascii="Times New Roman;serif" w:hAnsi="Times New Roman;serif"/>
          <w:b w:val="false"/>
          <w:color w:val="000000"/>
          <w:sz w:val="19"/>
        </w:rPr>
        <w:t xml:space="preserve">are accounting adjustments to report liabilities for 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u w:val="single"/>
        </w:rPr>
        <w:t>Restructuring costs, including certain severance and employee separation benefits</w:t>
      </w:r>
      <w:r>
        <w:rPr>
          <w:color w:val="000000"/>
        </w:rPr>
        <w:t xml:space="preserve"> </w:t>
      </w:r>
      <w:r>
        <w:rPr>
          <w:rFonts w:ascii="Times New Roman;serif" w:hAnsi="Times New Roman;serif"/>
          <w:b w:val="false"/>
          <w:color w:val="000000"/>
          <w:sz w:val="19"/>
        </w:rPr>
        <w:t>relate to certain discrete strategic actions taken by People Incorporated to improve operating efficiencies and to better align its cost structure. Ordinary course severance and employee separation benefits are not considered restructuring costs.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Gains and losses from lease impairments, terminations and amendments and certain asset sales</w:t>
      </w:r>
      <w:r>
        <w:rPr>
          <w:color w:val="000000"/>
        </w:rPr>
        <w:t xml:space="preserve"> </w:t>
      </w:r>
      <w:r>
        <w:rPr>
          <w:rFonts w:ascii="Times New Roman;serif" w:hAnsi="Times New Roman;serif"/>
          <w:b w:val="false"/>
          <w:color w:val="000000"/>
          <w:sz w:val="19"/>
        </w:rPr>
        <w:t>relate to certain activity to surrender leased space prior to its original lease expiration and the sale of certain assets. These adjustments can be highly variable and are excluded from our assessment of performance because they are considered non-operational in nature and, therefore, are not indicative of current or future performance.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Transaction-related costs</w:t>
      </w:r>
      <w:r>
        <w:rPr>
          <w:color w:val="000000"/>
        </w:rPr>
        <w:t xml:space="preserve"> </w:t>
      </w:r>
      <w:r>
        <w:rPr>
          <w:rFonts w:ascii="Times New Roman;serif" w:hAnsi="Times New Roman;serif"/>
          <w:b w:val="false"/>
          <w:color w:val="000000"/>
          <w:sz w:val="19"/>
        </w:rPr>
        <w:t>reflect third-party costs incurred in connection with acquisitions, dispositions and spinoffs that are not part of People Incorporated’s</w:t>
      </w:r>
      <w:r>
        <w:rPr>
          <w:color w:val="000000"/>
        </w:rPr>
        <w:t xml:space="preserve"> </w:t>
      </w:r>
      <w:r>
        <w:rPr>
          <w:rFonts w:ascii="Times New Roman;serif" w:hAnsi="Times New Roman;serif"/>
          <w:b w:val="false"/>
          <w:color w:val="000000"/>
          <w:sz w:val="20"/>
        </w:rPr>
        <w:t>core operating activities.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9"/>
          <w:u w:val="single"/>
        </w:rPr>
        <w:t>Litigation matters</w:t>
      </w:r>
      <w:r>
        <w:rPr>
          <w:color w:val="000000"/>
        </w:rPr>
        <w:t xml:space="preserve"> </w:t>
      </w:r>
      <w:r>
        <w:rPr>
          <w:rFonts w:ascii="Times New Roman;serif" w:hAnsi="Times New Roman;serif"/>
          <w:b w:val="false"/>
          <w:color w:val="000000"/>
          <w:sz w:val="19"/>
        </w:rPr>
        <w:t>reflect settlements, judgments, insurance recoveries and related third-party legal costs arising from certain litigation matters, including gains and losses that management determines, based on their nature and circumstances, are outside of the ordinary course of business and not representative of People Incorporated’s core ongoing operating performance.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20 of 21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76300"/>
                <wp:effectExtent l="0" t="0" r="0" b="0"/>
                <wp:wrapNone/>
                <wp:docPr id="72" name="Frame71"/>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28" w:before="0" w:after="160"/>
        <w:jc w:val="left"/>
        <w:rPr>
          <w:rFonts w:ascii="Times New Roman;serif" w:hAnsi="Times New Roman;serif"/>
          <w:b/>
          <w:i/>
          <w:color w:val="000000"/>
          <w:sz w:val="20"/>
        </w:rPr>
      </w:pPr>
      <w:r>
        <w:rPr>
          <w:rFonts w:ascii="Times New Roman;serif" w:hAnsi="Times New Roman;serif"/>
          <w:b/>
          <w:i/>
          <w:color w:val="000000"/>
          <w:sz w:val="20"/>
        </w:rPr>
        <w:t>Metric Definitions</w:t>
      </w:r>
    </w:p>
    <w:p>
      <w:pPr>
        <w:pStyle w:val="TextBody"/>
        <w:bidi w:val="0"/>
        <w:spacing w:lineRule="auto" w:line="228" w:before="0" w:after="0"/>
        <w:jc w:val="left"/>
        <w:rPr>
          <w:rFonts w:ascii="Times New Roman;serif" w:hAnsi="Times New Roman;serif"/>
          <w:b w:val="false"/>
          <w:i/>
          <w:color w:val="000000"/>
          <w:sz w:val="20"/>
        </w:rPr>
      </w:pPr>
      <w:r>
        <w:rPr>
          <w:rFonts w:ascii="Times New Roman;serif" w:hAnsi="Times New Roman;serif"/>
          <w:b w:val="false"/>
          <w:i/>
          <w:color w:val="000000"/>
          <w:sz w:val="20"/>
        </w:rPr>
        <w:t>People Inc.</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Digital Revenue </w:t>
      </w:r>
      <w:r>
        <w:rPr>
          <w:color w:val="000000"/>
        </w:rPr>
        <w:t xml:space="preserve">– </w:t>
      </w:r>
      <w:r>
        <w:rPr>
          <w:rFonts w:ascii="Times New Roman;serif" w:hAnsi="Times New Roman;serif"/>
          <w:b w:val="false"/>
          <w:color w:val="000000"/>
          <w:sz w:val="20"/>
        </w:rPr>
        <w:t>Includes Advertising revenue, Performance Marketing revenue and Licensing and Other revenue.</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Advertising revenue</w:t>
      </w:r>
      <w:r>
        <w:rPr>
          <w:color w:val="000000"/>
        </w:rPr>
        <w:t xml:space="preserve"> – </w:t>
      </w:r>
      <w:r>
        <w:rPr>
          <w:rFonts w:ascii="Times New Roman;serif" w:hAnsi="Times New Roman;serif"/>
          <w:b w:val="false"/>
          <w:color w:val="000000"/>
          <w:sz w:val="20"/>
        </w:rPr>
        <w:t>primarily includes revenue generated from digital advertisements and intent-based advertising targeting capabilities (D/Cipher), which are sold directly to advertisers or through advertising agencies and programmatic advertising networks.</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Performance Marketing revenue</w:t>
      </w:r>
      <w:r>
        <w:rPr>
          <w:color w:val="000000"/>
        </w:rPr>
        <w:t xml:space="preserve"> – </w:t>
      </w:r>
      <w:r>
        <w:rPr>
          <w:rFonts w:ascii="Times New Roman;serif" w:hAnsi="Times New Roman;serif"/>
          <w:b w:val="false"/>
          <w:color w:val="000000"/>
          <w:sz w:val="20"/>
        </w:rPr>
        <w:t xml:space="preserve">includes commissions generated through affiliate commerce, performance marketing services and 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Affinity marketing programs are arrangements where People Inc. acts as an agent for both People Inc. and third-party publishers to market and place magazine subscriptions online for which commission revenue is earned when a subscriber name has been provided to the publisher. </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rPr>
        <w:t>Licensing and Other revenue</w:t>
      </w:r>
      <w:r>
        <w:rPr>
          <w:color w:val="000000"/>
        </w:rPr>
        <w:t xml:space="preserve"> – </w:t>
      </w:r>
      <w:r>
        <w:rPr>
          <w:rFonts w:ascii="Times New Roman;serif" w:hAnsi="Times New Roman;serif"/>
          <w:b w:val="false"/>
          <w:color w:val="000000"/>
          <w:sz w:val="20"/>
        </w:rPr>
        <w:t xml:space="preserve">primarily includes revenue generated through brand and content licensing and similar agreements. Brand licensing generates royalties from long-term trademark licensing agreements with retailers, service providers, publishers and manufacturers. Content licensing royalties are earned from our relationship with Apple News+ as well as other content use and distribution relationships, including utilization in large-language models and other artificial intelligence-related activities. </w:t>
      </w:r>
    </w:p>
    <w:p>
      <w:pPr>
        <w:pStyle w:val="TextBody"/>
        <w:bidi w:val="0"/>
        <w:spacing w:before="0" w:after="0"/>
        <w:ind w:left="0" w:right="0" w:firstLine="288"/>
        <w:jc w:val="left"/>
        <w:rPr/>
      </w:pPr>
      <w:r>
        <w:rPr/>
      </w:r>
    </w:p>
    <w:p>
      <w:pPr>
        <w:pStyle w:val="TextBody"/>
        <w:bidi w:val="0"/>
        <w:spacing w:lineRule="auto" w:line="228" w:before="0" w:after="0"/>
        <w:jc w:val="left"/>
        <w:rPr/>
      </w:pPr>
      <w:r>
        <w:rPr>
          <w:rFonts w:ascii="Times New Roman;serif" w:hAnsi="Times New Roman;serif"/>
          <w:b/>
          <w:color w:val="000000"/>
          <w:sz w:val="20"/>
        </w:rPr>
        <w:t xml:space="preserve">Print Revenue – </w:t>
      </w:r>
      <w:r>
        <w:rPr>
          <w:rFonts w:ascii="Times New Roman;serif" w:hAnsi="Times New Roman;serif"/>
          <w:b w:val="false"/>
          <w:color w:val="000000"/>
          <w:sz w:val="20"/>
        </w:rPr>
        <w:t>Primarily includes subscription, advertising, newsstand, project and other and performance marketing revenue. Project and other revenue primarily includes revenue from custom publishing. Performance marketing revenue includes revenue from marketing third-party magazine subscriptions.</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Session-based Revenue – </w:t>
      </w:r>
      <w:r>
        <w:rPr>
          <w:rFonts w:ascii="Times New Roman;serif" w:hAnsi="Times New Roman;serif"/>
          <w:b w:val="false"/>
          <w:color w:val="000000"/>
          <w:sz w:val="20"/>
        </w:rPr>
        <w:t>Represents revenue related to advertisements served or performance marketing referrals initiated during a session, which is defined as a unique visit to a site that is part of People Inc.’s network. Session-based revenue includes Advertising and Performance marketing revenue earned from People Inc.’s owned and operated or affiliated sites.</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Non-session-based Revenue – </w:t>
      </w:r>
      <w:r>
        <w:rPr>
          <w:rFonts w:ascii="Times New Roman;serif" w:hAnsi="Times New Roman;serif"/>
          <w:b w:val="false"/>
          <w:color w:val="000000"/>
          <w:sz w:val="20"/>
        </w:rPr>
        <w:t>Represents revenue not dependent upon a session and primarily includes Advertising and Performance marketing revenue earned outside a session on People Inc.’s owned and operated or affiliated sites, such as D/Cipher+, native campaigns, social platforms, email and affinity marketing, and all Licensing and other revenue.</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Total Sessions – </w:t>
      </w:r>
      <w:r>
        <w:rPr>
          <w:rFonts w:ascii="Times New Roman;serif" w:hAnsi="Times New Roman;serif"/>
          <w:b w:val="false"/>
          <w:color w:val="000000"/>
          <w:sz w:val="20"/>
        </w:rPr>
        <w:t>Represents unique visits to all sites that are part of People Inc.’s network.</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Core Sessions – </w:t>
      </w:r>
      <w:r>
        <w:rPr>
          <w:rFonts w:ascii="Times New Roman;serif" w:hAnsi="Times New Roman;serif"/>
          <w:b w:val="false"/>
          <w:color w:val="000000"/>
          <w:sz w:val="20"/>
        </w:rPr>
        <w:t>Represents a subset of Total Sessions that comprises unique visits to People Inc.’s most significant (in terms of investment) owned and operated sites as follows:</w:t>
      </w:r>
    </w:p>
    <w:p>
      <w:pPr>
        <w:pStyle w:val="TextBody"/>
        <w:bidi w:val="0"/>
        <w:spacing w:before="0" w:after="0"/>
        <w:jc w:val="left"/>
        <w:rPr/>
      </w:pPr>
      <w:r>
        <w:rPr/>
      </w:r>
    </w:p>
    <w:tbl>
      <w:tblPr>
        <w:tblW w:w="4980" w:type="dxa"/>
        <w:jc w:val="left"/>
        <w:tblInd w:w="0" w:type="dxa"/>
        <w:tblLayout w:type="fixed"/>
        <w:tblCellMar>
          <w:top w:w="28" w:type="dxa"/>
          <w:left w:w="28" w:type="dxa"/>
          <w:bottom w:w="28" w:type="dxa"/>
          <w:right w:w="28" w:type="dxa"/>
        </w:tblCellMar>
      </w:tblPr>
      <w:tblGrid>
        <w:gridCol w:w="764"/>
        <w:gridCol w:w="672"/>
        <w:gridCol w:w="679"/>
        <w:gridCol w:w="478"/>
        <w:gridCol w:w="478"/>
        <w:gridCol w:w="484"/>
        <w:gridCol w:w="417"/>
        <w:gridCol w:w="417"/>
        <w:gridCol w:w="591"/>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InStyle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Simply Recipes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Allrecipes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&amp; Wine</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Serious Eats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Investopedia</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Martha Stewart</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EatingWell</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Better Homes &amp; Gardens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Byrdie</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Verywell Health</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SIMPLE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Verywell Mind</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Spruce</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Living</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 Leisure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i/>
          <w:color w:val="000000"/>
          <w:sz w:val="20"/>
        </w:rPr>
      </w:pPr>
      <w:r>
        <w:rPr>
          <w:rFonts w:ascii="Times New Roman;serif" w:hAnsi="Times New Roman;serif"/>
          <w:b w:val="false"/>
          <w:i/>
          <w:color w:val="000000"/>
          <w:sz w:val="20"/>
        </w:rPr>
        <w:t>Emerging &amp; Other</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Vivian Health Revenue </w:t>
      </w:r>
      <w:r>
        <w:rPr>
          <w:rFonts w:ascii="Times New Roman;serif" w:hAnsi="Times New Roman;serif"/>
          <w:b w:val="false"/>
          <w:color w:val="000000"/>
          <w:sz w:val="20"/>
        </w:rPr>
        <w:t xml:space="preserve">- Consists of subscription and usage revenue, which is generated through recruiting agencies and other employers that seek access to qualified healthcare professionals. </w:t>
      </w:r>
    </w:p>
    <w:p>
      <w:pPr>
        <w:pStyle w:val="TextBody"/>
        <w:bidi w:val="0"/>
        <w:spacing w:before="0" w:after="0"/>
        <w:jc w:val="left"/>
        <w:rPr/>
      </w:pPr>
      <w:r>
        <w:rPr/>
      </w:r>
    </w:p>
    <w:p>
      <w:pPr>
        <w:pStyle w:val="TextBody"/>
        <w:bidi w:val="0"/>
        <w:spacing w:lineRule="auto" w:line="228" w:before="0" w:after="0"/>
        <w:jc w:val="left"/>
        <w:rPr/>
      </w:pPr>
      <w:r>
        <w:rPr>
          <w:rFonts w:ascii="Times New Roman;serif" w:hAnsi="Times New Roman;serif"/>
          <w:b/>
          <w:color w:val="000000"/>
          <w:sz w:val="20"/>
        </w:rPr>
        <w:t xml:space="preserve">The Daily Beast Revenue </w:t>
      </w:r>
      <w:r>
        <w:rPr>
          <w:rFonts w:ascii="Times New Roman;serif" w:hAnsi="Times New Roman;serif"/>
          <w:b w:val="false"/>
          <w:color w:val="000000"/>
          <w:sz w:val="20"/>
        </w:rPr>
        <w:t>- Consists of advertising revenue, which is generated primarily through display advertisements (sold directly and through programmatic advertising networks), in addition to revenue generated through content licensing, in which licensing royalties are earned from the relationship with Apple News+, Yahoo, MSN as well as other content use and distribution relationships, including utilization in large-language models and other AI related activities. Further, to a lesser extent, subscription revenue and affiliate commerce commissions and event sponsorship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21 of 21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76300"/>
                <wp:effectExtent l="0" t="0" r="0" b="0"/>
                <wp:wrapNone/>
                <wp:docPr id="73" name="Frame7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i/>
          <w:color w:val="000000"/>
          <w:sz w:val="20"/>
        </w:rPr>
      </w:pPr>
      <w:r>
        <w:rPr>
          <w:rFonts w:ascii="Times New Roman;serif" w:hAnsi="Times New Roman;serif"/>
          <w:b/>
          <w:i/>
          <w:color w:val="000000"/>
          <w:sz w:val="20"/>
        </w:rPr>
        <w:t>OTHER INFORMATION</w:t>
      </w:r>
    </w:p>
    <w:p>
      <w:pPr>
        <w:pStyle w:val="TextBody"/>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 xml:space="preserve">Safe Harbor Statement Under the Private Securities Litigation Reform Act of 1995 </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This press release and the People Incorporated conference call, which will be held at 8:30 a.m. Eastern Time on Tuesday August 4, 2026, may contain "forward-looking statements" within the meaning of the Private Securities Litigation Reform Act of 1995. The use of words such as "anticipates," "estimates," "expects," "plans," “guidance” and "believes," among others, generally identify forward-looking statements. These forward-looking statements include, among others, statements relating to: the planned corporate function consolidation, sales of any non-core assets, the future financial performance of People Incorporated, business prospects and strategy, anticipated trends and prospects in the industries in which People Incorporated operates and other similar matters. 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subscribers and caregivers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(xxii) risks related to our corporate consolidation and (xxiii) risks related to our proposal made to MGM for a potential transaction, including the timing, completion and terms of any such transaction, the receipt of any required approvals and financing, the realization of anticipated benefits, and related litigation and other uncertainties. Certain of these and other risks and uncertainties are described in People Incorporated’s filings with the Securities and Exchange Commission (the “SEC”), including the most recent Annual Report on Form 10-K filed with the SEC on February 20, 2026, and subsequent reports that People Incorporated files with the SEC. Other unknown or unpredictable factors that could also adversely affect People Incorporated's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press release.</w:t>
      </w:r>
    </w:p>
    <w:p>
      <w:pPr>
        <w:pStyle w:val="TextBody"/>
        <w:bidi w:val="0"/>
        <w:spacing w:before="0" w:after="60"/>
        <w:jc w:val="both"/>
        <w:rPr/>
      </w:pPr>
      <w:r>
        <w:rPr/>
      </w:r>
    </w:p>
    <w:p>
      <w:pPr>
        <w:pStyle w:val="TextBody"/>
        <w:bidi w:val="0"/>
        <w:spacing w:lineRule="auto" w:line="240" w:before="0" w:after="180"/>
        <w:jc w:val="both"/>
        <w:rPr>
          <w:rFonts w:ascii="Times New Roman;serif" w:hAnsi="Times New Roman;serif"/>
          <w:b/>
          <w:color w:val="000000"/>
          <w:sz w:val="18"/>
          <w:u w:val="single"/>
        </w:rPr>
      </w:pPr>
      <w:r>
        <w:rPr>
          <w:rFonts w:ascii="Times New Roman;serif" w:hAnsi="Times New Roman;serif"/>
          <w:b/>
          <w:color w:val="000000"/>
          <w:sz w:val="18"/>
          <w:u w:val="single"/>
        </w:rPr>
        <w:t>About People Incorporated</w:t>
      </w:r>
    </w:p>
    <w:p>
      <w:pPr>
        <w:pStyle w:val="TextBody"/>
        <w:bidi w:val="0"/>
        <w:spacing w:lineRule="auto" w:line="268" w:before="0" w:after="0"/>
        <w:jc w:val="left"/>
        <w:rPr/>
      </w:pPr>
      <w:r>
        <w:rPr>
          <w:rFonts w:ascii="Times New Roman;serif" w:hAnsi="Times New Roman;serif"/>
          <w:b w:val="false"/>
          <w:color w:val="000000"/>
          <w:sz w:val="18"/>
        </w:rPr>
        <w:t xml:space="preserve">People Incorporated (NASDAQ: PPLI) is the owner of People Inc., the largest digital and print publisher in America and home to more than 40 celebrated brands including PEOPLE, Food &amp; Wine, Travel + Leisure, InStyle, Better Homes &amp; Gardens, and Southern Living, attracting more than 175 million consumers each month. The Company also holds a significant minority stake in MGM Resorts International, reflecting our belief in the power and potential of businesses built around enduring consumer brands and iconic, real-world experiences. </w:t>
      </w:r>
      <w:r>
        <w:rPr>
          <w:rFonts w:ascii="Times New Roman;serif" w:hAnsi="Times New Roman;serif"/>
          <w:b w:val="false"/>
          <w:color w:val="000000"/>
          <w:sz w:val="18"/>
          <w:shd w:fill="FFFFFF" w:val="clear"/>
        </w:rPr>
        <w:t>People Incorporated represents the latest evolution in a long tradition of entrepreneurial ownership, disciplined capital allocation, and opportunistic value creation. Over three decades, the Company has built, operated, invested in, and spun off many of the internet and media industry's defining businesses, and that same spirit of opportunism drives us today. People Incorporated is headquartered in New York City. Visit ir.people-incorporated.com.</w:t>
      </w:r>
    </w:p>
    <w:p>
      <w:pPr>
        <w:pStyle w:val="TextBody"/>
        <w:bidi w:val="0"/>
        <w:spacing w:before="0" w:after="120"/>
        <w:jc w:val="left"/>
        <w:rPr/>
      </w:pPr>
      <w:r>
        <w:rPr/>
      </w:r>
    </w:p>
    <w:p>
      <w:pPr>
        <w:pStyle w:val="TextBody"/>
        <w:bidi w:val="0"/>
        <w:spacing w:lineRule="auto" w:line="240" w:before="0" w:after="60"/>
        <w:jc w:val="both"/>
        <w:rPr>
          <w:rFonts w:ascii="Times New Roman;serif" w:hAnsi="Times New Roman;serif"/>
          <w:b/>
          <w:color w:val="000000"/>
          <w:sz w:val="18"/>
          <w:u w:val="single"/>
        </w:rPr>
      </w:pPr>
      <w:r>
        <w:rPr>
          <w:rFonts w:ascii="Times New Roman;serif" w:hAnsi="Times New Roman;serif"/>
          <w:b/>
          <w:color w:val="000000"/>
          <w:sz w:val="18"/>
          <w:u w:val="single"/>
        </w:rPr>
        <w:t>Contact Us</w:t>
      </w:r>
    </w:p>
    <w:p>
      <w:pPr>
        <w:pStyle w:val="TextBody"/>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People Incorporated Investor Relations</w:t>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Mark Schneider</w:t>
      </w:r>
    </w:p>
    <w:p>
      <w:pPr>
        <w:pStyle w:val="TextBody"/>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(212) 314-7400</w:t>
      </w:r>
    </w:p>
    <w:p>
      <w:pPr>
        <w:pStyle w:val="TextBody"/>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 xml:space="preserve">People Incorporated Corporate Communications </w:t>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Valerie Combs</w:t>
      </w:r>
    </w:p>
    <w:p>
      <w:pPr>
        <w:pStyle w:val="TextBody"/>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(212) 314-7251</w:t>
      </w:r>
    </w:p>
    <w:p>
      <w:pPr>
        <w:pStyle w:val="TextBody"/>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People Incorporated</w:t>
      </w:r>
    </w:p>
    <w:p>
      <w:pPr>
        <w:pStyle w:val="TextBody"/>
        <w:bidi w:val="0"/>
        <w:spacing w:lineRule="auto" w:line="240" w:before="0" w:after="240"/>
        <w:jc w:val="both"/>
        <w:rPr/>
      </w:pPr>
      <w:r>
        <w:rPr>
          <w:rFonts w:ascii="Times New Roman;serif" w:hAnsi="Times New Roman;serif"/>
          <w:b w:val="false"/>
          <w:color w:val="000000"/>
          <w:sz w:val="18"/>
        </w:rPr>
        <w:t>555 West 18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 xml:space="preserve">Street, New York, NY 10011 (212) 314-7300 </w:t>
      </w:r>
      <w:r>
        <w:rPr>
          <w:rFonts w:ascii="Times New Roman;serif" w:hAnsi="Times New Roman;serif"/>
          <w:b w:val="false"/>
          <w:color w:val="0000FF"/>
          <w:sz w:val="18"/>
        </w:rPr>
        <w:t>http://ir.people-incorporated.com</w:t>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76300"/>
                <wp:effectExtent l="0" t="0" r="0" b="0"/>
                <wp:wrapNone/>
                <wp:docPr id="74" name="Frame7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31584</Words>
  <Characters>173168</Characters>
  <CharactersWithSpaces>203692</CharactersWithSpaces>
  <Paragraphs>2014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