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24"/>
        </w:rPr>
        <w:t>FORM 10-Q</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transition period from__________to__________                            </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No. 001-39356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24"/>
        </w:rPr>
        <w:t>People Incorporated</w:t>
      </w:r>
      <w:r>
        <w:rPr>
          <w:color w:val="000000"/>
        </w:rPr>
        <w:t xml:space="preserve"> </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84-3727412</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555 West 18th Street, New York, New York 10011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registrant’s principal executive offices)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(212) 314-7300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8416" w:type="dxa"/>
        <w:jc w:val="center"/>
        <w:tblInd w:w="0" w:type="dxa"/>
        <w:tblLayout w:type="fixed"/>
        <w:tblCellMar>
          <w:top w:w="28" w:type="dxa"/>
          <w:left w:w="28" w:type="dxa"/>
          <w:bottom w:w="28" w:type="dxa"/>
          <w:right w:w="28" w:type="dxa"/>
        </w:tblCellMar>
      </w:tblPr>
      <w:tblGrid>
        <w:gridCol w:w="920"/>
        <w:gridCol w:w="807"/>
        <w:gridCol w:w="807"/>
        <w:gridCol w:w="278"/>
        <w:gridCol w:w="278"/>
        <w:gridCol w:w="278"/>
        <w:gridCol w:w="425"/>
        <w:gridCol w:w="425"/>
        <w:gridCol w:w="425"/>
        <w:gridCol w:w="278"/>
        <w:gridCol w:w="278"/>
        <w:gridCol w:w="278"/>
        <w:gridCol w:w="861"/>
        <w:gridCol w:w="861"/>
        <w:gridCol w:w="1217"/>
      </w:tblGrid>
      <w:tr>
        <w:trPr/>
        <w:tc>
          <w:tcPr>
            <w:tcW w:w="92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84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PPLI</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None</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18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69"/>
        <w:gridCol w:w="669"/>
        <w:gridCol w:w="671"/>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12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As of July 31, 2026, the following shares of the registrant’s common stock were outstanding:</w:t>
      </w:r>
    </w:p>
    <w:tbl>
      <w:tblPr>
        <w:tblW w:w="2794" w:type="dxa"/>
        <w:jc w:val="center"/>
        <w:tblInd w:w="0" w:type="dxa"/>
        <w:tblLayout w:type="fixed"/>
        <w:tblCellMar>
          <w:top w:w="28" w:type="dxa"/>
          <w:left w:w="28" w:type="dxa"/>
          <w:bottom w:w="28" w:type="dxa"/>
          <w:right w:w="28" w:type="dxa"/>
        </w:tblCellMar>
      </w:tblPr>
      <w:tblGrid>
        <w:gridCol w:w="607"/>
        <w:gridCol w:w="535"/>
        <w:gridCol w:w="537"/>
        <w:gridCol w:w="480"/>
        <w:gridCol w:w="48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68,674,426 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74,463,925 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81" w:type="dxa"/>
        <w:jc w:val="left"/>
        <w:tblInd w:w="0" w:type="dxa"/>
        <w:tblLayout w:type="fixed"/>
        <w:tblCellMar>
          <w:top w:w="28" w:type="dxa"/>
          <w:left w:w="28" w:type="dxa"/>
          <w:bottom w:w="28" w:type="dxa"/>
          <w:right w:w="28" w:type="dxa"/>
        </w:tblCellMar>
      </w:tblPr>
      <w:tblGrid>
        <w:gridCol w:w="293"/>
        <w:gridCol w:w="258"/>
        <w:gridCol w:w="259"/>
        <w:gridCol w:w="2444"/>
        <w:gridCol w:w="2444"/>
        <w:gridCol w:w="2447"/>
        <w:gridCol w:w="215"/>
        <w:gridCol w:w="215"/>
        <w:gridCol w:w="306"/>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8881"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73dc8f3a1b24875b0036ddd45bfe466_10">
              <w:r>
                <w:rPr>
                  <w:rStyle w:val="InternetLink"/>
                  <w:rFonts w:ascii="Times New Roman;serif" w:hAnsi="Times New Roman;serif"/>
                  <w:b/>
                  <w:color w:val="0000FF"/>
                  <w:sz w:val="20"/>
                  <w:u w:val="single"/>
                </w:rPr>
                <w:t>PART I</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3">
              <w:r>
                <w:rPr>
                  <w:rStyle w:val="InternetLink"/>
                  <w:rFonts w:ascii="Times New Roman;serif" w:hAnsi="Times New Roman;serif"/>
                  <w:b w:val="false"/>
                  <w:color w:val="0000FF"/>
                  <w:sz w:val="20"/>
                  <w:u w:val="single"/>
                </w:rPr>
                <w:t>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6">
              <w:r>
                <w:rPr>
                  <w:rStyle w:val="InternetLink"/>
                  <w:rFonts w:ascii="Times New Roman;serif" w:hAnsi="Times New Roman;serif"/>
                  <w:b w:val="false"/>
                  <w:color w:val="0000FF"/>
                  <w:sz w:val="20"/>
                  <w:u w:val="single"/>
                </w:rPr>
                <w:t>Consolidated Balance Sheet</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6">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9">
              <w:r>
                <w:rPr>
                  <w:rStyle w:val="InternetLink"/>
                  <w:rFonts w:ascii="Times New Roman;serif" w:hAnsi="Times New Roman;serif"/>
                  <w:b w:val="false"/>
                  <w:color w:val="0000FF"/>
                  <w:sz w:val="20"/>
                  <w:u w:val="single"/>
                </w:rPr>
                <w:t>Consolidated Statement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9">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22">
              <w:r>
                <w:rPr>
                  <w:rStyle w:val="InternetLink"/>
                  <w:rFonts w:ascii="Times New Roman;serif" w:hAnsi="Times New Roman;serif"/>
                  <w:b w:val="false"/>
                  <w:color w:val="0000FF"/>
                  <w:sz w:val="20"/>
                  <w:u w:val="single"/>
                </w:rPr>
                <w:t>Consolidated Statement of Comprehensive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22">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25">
              <w:r>
                <w:rPr>
                  <w:rStyle w:val="InternetLink"/>
                  <w:rFonts w:ascii="Times New Roman;serif" w:hAnsi="Times New Roman;serif"/>
                  <w:b w:val="false"/>
                  <w:color w:val="0000FF"/>
                  <w:sz w:val="20"/>
                  <w:u w:val="single"/>
                </w:rPr>
                <w:t>Consolidated Statement of Shareholders'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25">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31">
              <w:r>
                <w:rPr>
                  <w:rStyle w:val="InternetLink"/>
                  <w:rFonts w:ascii="Times New Roman;serif" w:hAnsi="Times New Roman;serif"/>
                  <w:b w:val="false"/>
                  <w:color w:val="0000FF"/>
                  <w:sz w:val="20"/>
                  <w:u w:val="single"/>
                </w:rPr>
                <w:t>Consolidated Statement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31">
              <w:r>
                <w:rPr>
                  <w:rStyle w:val="InternetLink"/>
                  <w:rFonts w:ascii="Times New Roman;serif" w:hAnsi="Times New Roman;serif"/>
                  <w:b w:val="false"/>
                  <w:color w:val="0000FF"/>
                  <w:sz w:val="20"/>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34">
              <w:r>
                <w:rPr>
                  <w:rStyle w:val="InternetLink"/>
                  <w:rFonts w:ascii="Times New Roman;serif" w:hAnsi="Times New Roman;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37">
              <w:r>
                <w:rPr>
                  <w:rStyle w:val="InternetLink"/>
                  <w:rFonts w:ascii="Times New Roman;serif" w:hAnsi="Times New Roman;serif"/>
                  <w:b w:val="false"/>
                  <w:color w:val="0000FF"/>
                  <w:sz w:val="20"/>
                  <w:u w:val="single"/>
                </w:rPr>
                <w:t>Note 1—The Company and Summary of Significant Accounting Policies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37">
              <w:r>
                <w:rPr>
                  <w:rStyle w:val="InternetLink"/>
                  <w:rFonts w:ascii="Times New Roman;serif" w:hAnsi="Times New Roman;serif"/>
                  <w:b w:val="false"/>
                  <w:color w:val="0000FF"/>
                  <w:sz w:val="20"/>
                  <w:u w:val="single"/>
                </w:rPr>
                <w:t>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40">
              <w:r>
                <w:rPr>
                  <w:rStyle w:val="InternetLink"/>
                  <w:rFonts w:ascii="Times New Roman;serif" w:hAnsi="Times New Roman;serif"/>
                  <w:b w:val="false"/>
                  <w:color w:val="0000FF"/>
                  <w:sz w:val="20"/>
                  <w:u w:val="single"/>
                </w:rPr>
                <w:t>Note 2—Financial Instruments and Fair Value Measurements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40">
              <w:r>
                <w:rPr>
                  <w:rStyle w:val="InternetLink"/>
                  <w:rFonts w:ascii="Times New Roman;serif" w:hAnsi="Times New Roman;serif"/>
                  <w:b w:val="false"/>
                  <w:color w:val="0000FF"/>
                  <w:sz w:val="20"/>
                  <w:u w:val="single"/>
                </w:rPr>
                <w:t>12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46">
              <w:r>
                <w:rPr>
                  <w:rStyle w:val="InternetLink"/>
                  <w:rFonts w:ascii="Times New Roman;serif" w:hAnsi="Times New Roman;serif"/>
                  <w:b w:val="false"/>
                  <w:color w:val="0000FF"/>
                  <w:sz w:val="20"/>
                  <w:u w:val="single"/>
                </w:rPr>
                <w:t>Note 3—Long-term Debt</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46">
              <w:r>
                <w:rPr>
                  <w:rStyle w:val="InternetLink"/>
                  <w:rFonts w:ascii="Times New Roman;serif" w:hAnsi="Times New Roman;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220">
              <w:r>
                <w:rPr>
                  <w:rStyle w:val="InternetLink"/>
                  <w:rFonts w:ascii="Times New Roman;serif" w:hAnsi="Times New Roman;serif"/>
                  <w:b w:val="false"/>
                  <w:color w:val="0000FF"/>
                  <w:sz w:val="20"/>
                  <w:u w:val="single"/>
                </w:rPr>
                <w:t>Note 4—Shareholders'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220">
              <w:r>
                <w:rPr>
                  <w:rStyle w:val="InternetLink"/>
                  <w:rFonts w:ascii="Times New Roman;serif" w:hAnsi="Times New Roman;serif"/>
                  <w:b w:val="false"/>
                  <w:color w:val="0000FF"/>
                  <w:sz w:val="20"/>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52">
              <w:r>
                <w:rPr>
                  <w:rStyle w:val="InternetLink"/>
                  <w:rFonts w:ascii="Times New Roman;serif" w:hAnsi="Times New Roman;serif"/>
                  <w:b w:val="false"/>
                  <w:color w:val="0000FF"/>
                  <w:sz w:val="20"/>
                  <w:u w:val="single"/>
                </w:rPr>
                <w:t>Note 5—Accumulated Other Comprehensive Loss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52">
              <w:r>
                <w:rPr>
                  <w:rStyle w:val="InternetLink"/>
                  <w:rFonts w:ascii="Times New Roman;serif" w:hAnsi="Times New Roman;serif"/>
                  <w:b w:val="false"/>
                  <w:color w:val="0000FF"/>
                  <w:sz w:val="20"/>
                  <w:u w:val="single"/>
                </w:rPr>
                <w:t>20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58">
              <w:r>
                <w:rPr>
                  <w:rStyle w:val="InternetLink"/>
                  <w:rFonts w:ascii="Times New Roman;serif" w:hAnsi="Times New Roman;serif"/>
                  <w:b w:val="false"/>
                  <w:color w:val="0000FF"/>
                  <w:sz w:val="20"/>
                  <w:u w:val="single"/>
                </w:rPr>
                <w:t>Note 6—Segment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58">
              <w:r>
                <w:rPr>
                  <w:rStyle w:val="InternetLink"/>
                  <w:rFonts w:ascii="Times New Roman;serif" w:hAnsi="Times New Roman;serif"/>
                  <w:b w:val="false"/>
                  <w:color w:val="0000FF"/>
                  <w:sz w:val="20"/>
                  <w:u w:val="single"/>
                </w:rPr>
                <w:t>21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67">
              <w:r>
                <w:rPr>
                  <w:rStyle w:val="InternetLink"/>
                  <w:rFonts w:ascii="Times New Roman;serif" w:hAnsi="Times New Roman;serif"/>
                  <w:b w:val="false"/>
                  <w:color w:val="0000FF"/>
                  <w:sz w:val="20"/>
                  <w:u w:val="single"/>
                </w:rPr>
                <w:t>Note 7—Pension and Post-Retirement Benefit Plans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67">
              <w:r>
                <w:rPr>
                  <w:rStyle w:val="InternetLink"/>
                  <w:rFonts w:ascii="Times New Roman;serif" w:hAnsi="Times New Roman;serif"/>
                  <w:b w:val="false"/>
                  <w:color w:val="0000FF"/>
                  <w:sz w:val="20"/>
                  <w:u w:val="single"/>
                </w:rPr>
                <w:t>25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70">
              <w:r>
                <w:rPr>
                  <w:rStyle w:val="InternetLink"/>
                  <w:rFonts w:ascii="Times New Roman;serif" w:hAnsi="Times New Roman;serif"/>
                  <w:b w:val="false"/>
                  <w:color w:val="0000FF"/>
                  <w:sz w:val="20"/>
                  <w:u w:val="single"/>
                </w:rPr>
                <w:t>Note 8—Income Taxes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70">
              <w:r>
                <w:rPr>
                  <w:rStyle w:val="InternetLink"/>
                  <w:rFonts w:ascii="Times New Roman;serif" w:hAnsi="Times New Roman;serif"/>
                  <w:b w:val="false"/>
                  <w:color w:val="0000FF"/>
                  <w:sz w:val="20"/>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73">
              <w:r>
                <w:rPr>
                  <w:rStyle w:val="InternetLink"/>
                  <w:rFonts w:ascii="Times New Roman;serif" w:hAnsi="Times New Roman;serif"/>
                  <w:b w:val="false"/>
                  <w:color w:val="0000FF"/>
                  <w:sz w:val="20"/>
                  <w:u w:val="single"/>
                </w:rPr>
                <w:t>Note 9—Earnings (Loss) Per Share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73">
              <w:r>
                <w:rPr>
                  <w:rStyle w:val="InternetLink"/>
                  <w:rFonts w:ascii="Times New Roman;serif" w:hAnsi="Times New Roman;serif"/>
                  <w:b w:val="false"/>
                  <w:color w:val="0000FF"/>
                  <w:sz w:val="20"/>
                  <w:u w:val="single"/>
                </w:rPr>
                <w:t>27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76">
              <w:r>
                <w:rPr>
                  <w:rStyle w:val="InternetLink"/>
                  <w:rFonts w:ascii="Times New Roman;serif" w:hAnsi="Times New Roman;serif"/>
                  <w:b w:val="false"/>
                  <w:color w:val="0000FF"/>
                  <w:sz w:val="20"/>
                  <w:u w:val="single"/>
                </w:rPr>
                <w:t>Note 10—Financial Statement Details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76">
              <w:r>
                <w:rPr>
                  <w:rStyle w:val="InternetLink"/>
                  <w:rFonts w:ascii="Times New Roman;serif" w:hAnsi="Times New Roman;serif"/>
                  <w:b w:val="false"/>
                  <w:color w:val="0000FF"/>
                  <w:sz w:val="20"/>
                  <w:u w:val="single"/>
                </w:rPr>
                <w:t>30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79">
              <w:r>
                <w:rPr>
                  <w:rStyle w:val="InternetLink"/>
                  <w:rFonts w:ascii="Times New Roman;serif" w:hAnsi="Times New Roman;serif"/>
                  <w:b w:val="false"/>
                  <w:color w:val="0000FF"/>
                  <w:sz w:val="20"/>
                  <w:u w:val="single"/>
                </w:rPr>
                <w:t>Note 11—Contingencies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79">
              <w:r>
                <w:rPr>
                  <w:rStyle w:val="InternetLink"/>
                  <w:rFonts w:ascii="Times New Roman;serif" w:hAnsi="Times New Roman;serif"/>
                  <w:b w:val="false"/>
                  <w:color w:val="0000FF"/>
                  <w:sz w:val="20"/>
                  <w:u w:val="single"/>
                </w:rPr>
                <w:t>32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82">
              <w:r>
                <w:rPr>
                  <w:rStyle w:val="InternetLink"/>
                  <w:rFonts w:ascii="Times New Roman;serif" w:hAnsi="Times New Roman;serif"/>
                  <w:b w:val="false"/>
                  <w:color w:val="0000FF"/>
                  <w:sz w:val="20"/>
                  <w:u w:val="single"/>
                </w:rPr>
                <w:t>Note 12—Related Party Transactions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82">
              <w:r>
                <w:rPr>
                  <w:rStyle w:val="InternetLink"/>
                  <w:rFonts w:ascii="Times New Roman;serif" w:hAnsi="Times New Roman;serif"/>
                  <w:b w:val="false"/>
                  <w:color w:val="0000FF"/>
                  <w:sz w:val="20"/>
                  <w:u w:val="single"/>
                </w:rPr>
                <w:t>33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91">
              <w:r>
                <w:rPr>
                  <w:rStyle w:val="InternetLink"/>
                  <w:rFonts w:ascii="Times New Roman;serif" w:hAnsi="Times New Roman;serif"/>
                  <w:b w:val="false"/>
                  <w:color w:val="0000FF"/>
                  <w:sz w:val="20"/>
                  <w:u w:val="single"/>
                </w:rPr>
                <w:t>Note 13—Discontinued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91">
              <w:r>
                <w:rPr>
                  <w:rStyle w:val="InternetLink"/>
                  <w:rFonts w:ascii="Times New Roman;serif" w:hAnsi="Times New Roman;serif"/>
                  <w:b w:val="false"/>
                  <w:color w:val="0000FF"/>
                  <w:sz w:val="20"/>
                  <w:u w:val="single"/>
                </w:rPr>
                <w:t>34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94">
              <w:r>
                <w:rPr>
                  <w:rStyle w:val="InternetLink"/>
                  <w:rFonts w:ascii="Times New Roman;serif" w:hAnsi="Times New Roman;serif"/>
                  <w:b w:val="false"/>
                  <w:color w:val="0000FF"/>
                  <w:sz w:val="20"/>
                  <w:u w:val="single"/>
                </w:rPr>
                <w:t>Note 14—People Inc. Financial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94">
              <w:r>
                <w:rPr>
                  <w:rStyle w:val="InternetLink"/>
                  <w:rFonts w:ascii="Times New Roman;serif" w:hAnsi="Times New Roman;serif"/>
                  <w:b w:val="false"/>
                  <w:color w:val="0000FF"/>
                  <w:sz w:val="20"/>
                  <w:u w:val="single"/>
                </w:rPr>
                <w:t>37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21">
              <w:r>
                <w:rPr>
                  <w:rStyle w:val="InternetLink"/>
                  <w:rFonts w:ascii="Times New Roman;serif" w:hAnsi="Times New Roman;serif"/>
                  <w:b w:val="false"/>
                  <w:color w:val="0000FF"/>
                  <w:sz w:val="20"/>
                  <w:u w:val="single"/>
                </w:rPr>
                <w:t>Note 15—Subsequent Event</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21">
              <w:r>
                <w:rPr>
                  <w:rStyle w:val="InternetLink"/>
                  <w:rFonts w:ascii="Times New Roman;serif" w:hAnsi="Times New Roman;serif"/>
                  <w:b w:val="false"/>
                  <w:color w:val="0000FF"/>
                  <w:sz w:val="20"/>
                  <w:u w:val="single"/>
                </w:rPr>
                <w:t>50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30">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3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30">
              <w:r>
                <w:rPr>
                  <w:rStyle w:val="InternetLink"/>
                  <w:rFonts w:ascii="Times New Roman;serif" w:hAnsi="Times New Roman;serif"/>
                  <w:b w:val="false"/>
                  <w:color w:val="0000FF"/>
                  <w:sz w:val="20"/>
                  <w:u w:val="single"/>
                </w:rPr>
                <w:t>51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45">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45">
              <w:r>
                <w:rPr>
                  <w:rStyle w:val="InternetLink"/>
                  <w:rFonts w:ascii="Times New Roman;serif" w:hAnsi="Times New Roman;serif"/>
                  <w:b w:val="false"/>
                  <w:color w:val="0000FF"/>
                  <w:sz w:val="20"/>
                  <w:u w:val="single"/>
                </w:rPr>
                <w:t>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45">
              <w:r>
                <w:rPr>
                  <w:rStyle w:val="InternetLink"/>
                  <w:rFonts w:ascii="Times New Roman;serif" w:hAnsi="Times New Roman;serif"/>
                  <w:b w:val="false"/>
                  <w:color w:val="0000FF"/>
                  <w:sz w:val="20"/>
                  <w:u w:val="single"/>
                </w:rPr>
                <w:t>78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48">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48">
              <w:r>
                <w:rPr>
                  <w:rStyle w:val="InternetLink"/>
                  <w:rFonts w:ascii="Times New Roman;serif" w:hAnsi="Times New Roman;serif"/>
                  <w:b w:val="false"/>
                  <w:color w:val="0000FF"/>
                  <w:sz w:val="20"/>
                  <w:u w:val="single"/>
                </w:rPr>
                <w:t>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48">
              <w:r>
                <w:rPr>
                  <w:rStyle w:val="InternetLink"/>
                  <w:rFonts w:ascii="Times New Roman;serif" w:hAnsi="Times New Roman;serif"/>
                  <w:b w:val="false"/>
                  <w:color w:val="0000FF"/>
                  <w:sz w:val="20"/>
                  <w:u w:val="single"/>
                </w:rPr>
                <w:t>79</w:t>
              </w:r>
            </w:hyperlink>
          </w:p>
        </w:tc>
      </w:tr>
      <w:tr>
        <w:trPr/>
        <w:tc>
          <w:tcPr>
            <w:tcW w:w="8881"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473dc8f3a1b24875b0036ddd45bfe466_151">
              <w:r>
                <w:rPr>
                  <w:rStyle w:val="InternetLink"/>
                  <w:rFonts w:ascii="Times New Roman;serif" w:hAnsi="Times New Roman;serif"/>
                  <w:b/>
                  <w:color w:val="0000FF"/>
                  <w:sz w:val="20"/>
                  <w:u w:val="single"/>
                </w:rPr>
                <w:t>PART II</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54">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54">
              <w:r>
                <w:rPr>
                  <w:rStyle w:val="InternetLink"/>
                  <w:rFonts w:ascii="Times New Roman;serif" w:hAnsi="Times New Roman;serif"/>
                  <w:b w:val="false"/>
                  <w:color w:val="0000FF"/>
                  <w:sz w:val="20"/>
                  <w:u w:val="single"/>
                </w:rPr>
                <w:t>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54">
              <w:r>
                <w:rPr>
                  <w:rStyle w:val="InternetLink"/>
                  <w:rFonts w:ascii="Times New Roman;serif" w:hAnsi="Times New Roman;serif"/>
                  <w:b w:val="false"/>
                  <w:color w:val="0000FF"/>
                  <w:sz w:val="20"/>
                  <w:u w:val="single"/>
                </w:rPr>
                <w:t>80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57">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57">
              <w:r>
                <w:rPr>
                  <w:rStyle w:val="InternetLink"/>
                  <w:rFonts w:ascii="Times New Roman;serif" w:hAnsi="Times New Roman;serif"/>
                  <w:b w:val="false"/>
                  <w:color w:val="0000FF"/>
                  <w:sz w:val="20"/>
                  <w:u w:val="single"/>
                </w:rPr>
                <w:t>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57">
              <w:r>
                <w:rPr>
                  <w:rStyle w:val="InternetLink"/>
                  <w:rFonts w:ascii="Times New Roman;serif" w:hAnsi="Times New Roman;serif"/>
                  <w:b w:val="false"/>
                  <w:color w:val="0000FF"/>
                  <w:sz w:val="20"/>
                  <w:u w:val="single"/>
                </w:rPr>
                <w:t>80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17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177">
              <w:r>
                <w:rPr>
                  <w:rStyle w:val="InternetLink"/>
                  <w:rFonts w:ascii="Times New Roman;serif" w:hAnsi="Times New Roman;serif"/>
                  <w:b w:val="false"/>
                  <w:color w:val="0000FF"/>
                  <w:sz w:val="20"/>
                  <w:u w:val="single"/>
                </w:rPr>
                <w:t>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177">
              <w:r>
                <w:rPr>
                  <w:rStyle w:val="InternetLink"/>
                  <w:rFonts w:ascii="Times New Roman;serif" w:hAnsi="Times New Roman;serif"/>
                  <w:b w:val="false"/>
                  <w:color w:val="0000FF"/>
                  <w:sz w:val="20"/>
                  <w:u w:val="single"/>
                </w:rPr>
                <w:t>82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63">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63">
              <w:r>
                <w:rPr>
                  <w:rStyle w:val="InternetLink"/>
                  <w:rFonts w:ascii="Times New Roman;serif" w:hAnsi="Times New Roman;serif"/>
                  <w:b w:val="false"/>
                  <w:color w:val="0000FF"/>
                  <w:sz w:val="20"/>
                  <w:u w:val="single"/>
                </w:rPr>
                <w:t>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63">
              <w:r>
                <w:rPr>
                  <w:rStyle w:val="InternetLink"/>
                  <w:rFonts w:ascii="Times New Roman;serif" w:hAnsi="Times New Roman;serif"/>
                  <w:b w:val="false"/>
                  <w:color w:val="0000FF"/>
                  <w:sz w:val="20"/>
                  <w:u w:val="single"/>
                </w:rPr>
                <w:t>83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66">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66">
              <w:r>
                <w:rPr>
                  <w:rStyle w:val="InternetLink"/>
                  <w:rFonts w:ascii="Times New Roman;serif" w:hAnsi="Times New Roman;serif"/>
                  <w:b w:val="false"/>
                  <w:color w:val="0000FF"/>
                  <w:sz w:val="20"/>
                  <w:u w:val="single"/>
                </w:rPr>
                <w:t>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66">
              <w:r>
                <w:rPr>
                  <w:rStyle w:val="InternetLink"/>
                  <w:rFonts w:ascii="Times New Roman;serif" w:hAnsi="Times New Roman;serif"/>
                  <w:b w:val="false"/>
                  <w:color w:val="0000FF"/>
                  <w:sz w:val="20"/>
                  <w:u w:val="single"/>
                </w:rPr>
                <w:t>83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3dc8f3a1b24875b0036ddd45bfe466_169">
              <w:r>
                <w:rPr>
                  <w:rStyle w:val="InternetLink"/>
                  <w:rFonts w:ascii="Times New Roman;serif" w:hAnsi="Times New Roman;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3dc8f3a1b24875b0036ddd45bfe466_169">
              <w:r>
                <w:rPr>
                  <w:rStyle w:val="InternetLink"/>
                  <w:rFonts w:ascii="Times New Roman;serif" w:hAnsi="Times New Roman;serif"/>
                  <w:b w:val="false"/>
                  <w:color w:val="0000FF"/>
                  <w:sz w:val="20"/>
                  <w:u w:val="single"/>
                </w:rPr>
                <w:t>85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    </w:t>
      </w:r>
      <w:r>
        <w:rPr>
          <w:rFonts w:ascii="Times New Roman;serif" w:hAnsi="Times New Roman;serif"/>
          <w:b/>
          <w:i/>
          <w:color w:val="000000"/>
          <w:sz w:val="20"/>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PEOPLE INCORPORATED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CONSOLIDATED BALANCE SHEET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57"/>
        <w:gridCol w:w="2202"/>
        <w:gridCol w:w="2229"/>
        <w:gridCol w:w="198"/>
        <w:gridCol w:w="882"/>
        <w:gridCol w:w="110"/>
        <w:gridCol w:w="110"/>
        <w:gridCol w:w="110"/>
        <w:gridCol w:w="110"/>
        <w:gridCol w:w="223"/>
        <w:gridCol w:w="994"/>
        <w:gridCol w:w="180"/>
      </w:tblGrid>
      <w:tr>
        <w:trPr/>
        <w:tc>
          <w:tcPr>
            <w:tcW w:w="2857"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par value amounts)</w:t>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1,113,008 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941,311 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1,551,712 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1,544,749 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Buildings, land, equipment, leasehold improvements and capitalized software,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1,507,959 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1,508,030 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MGM Resorts International</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3,194,777 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2,401,858 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of discontinued operations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429,395 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7,519,944 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7,194,917 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trade</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560,867 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1,390,218 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1,401,324 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208,624 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 of discontinued operations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authorized 1,600,000 shares; 84,182 and 83,581 shares issued and 68,665 and 71,555 shares outstanding at June 30, 2026 and December 31, 2025, respectively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authorized 400,000 shares; 5,789 shares issued and outstanding at June 30, 2026 and December 31, 2025</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6,008,443 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5,959,692 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(643,000)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15,517 shares and 12,026 shares at June 30, 2026 and December 31, 2025, respectively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People Incorporated shareholders' equity</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5,082,381 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4,733,827 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5,117,888 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4,763,759 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7,519,944 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7,194,917 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18"/>
        </w:rPr>
        <w:t xml:space="preserve">The accompanying </w:t>
      </w:r>
      <w:hyperlink w:anchor="i473dc8f3a1b24875b0036ddd45bfe466_34">
        <w:r>
          <w:rPr>
            <w:rStyle w:val="InternetLink"/>
            <w:rFonts w:ascii="Times New Roman;serif" w:hAnsi="Times New Roman;serif"/>
            <w:b w:val="false"/>
            <w:color w:val="0000FF"/>
            <w:sz w:val="18"/>
            <w:u w:val="single"/>
          </w:rPr>
          <w:t>Notes to Consolidated Financial Statements</w:t>
        </w:r>
      </w:hyperlink>
      <w:r>
        <w:rPr>
          <w:color w:val="000000"/>
        </w:rPr>
        <w:t xml:space="preserve"> </w:t>
      </w:r>
      <w:r>
        <w:rPr>
          <w:rFonts w:ascii="Times New Roman;serif" w:hAnsi="Times New Roman;serif"/>
          <w:b w:val="false"/>
          <w:color w:val="000000"/>
          <w:sz w:val="18"/>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CONSOLIDATED STATEMENT OF OPERATIONS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4"/>
        <w:gridCol w:w="1377"/>
        <w:gridCol w:w="139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2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People Incorporated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information from continuing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information attributable to People Incorporated common stock and Class B common stock shareholders: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 by function: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The accompanying </w:t>
      </w:r>
      <w:hyperlink w:anchor="i473dc8f3a1b24875b0036ddd45bfe466_34">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PEOPLE INCORPORATED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CONSOLIDATED STATEMENT OF COMPREHENSIVE OPERATIONS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779"/>
        <w:gridCol w:w="1540"/>
        <w:gridCol w:w="14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664"/>
        <w:gridCol w:w="155"/>
      </w:tblGrid>
      <w:tr>
        <w:trPr/>
        <w:tc>
          <w:tcPr>
            <w:tcW w:w="17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foreign currency translation adjustment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(losses) on interest rate swaps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net of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comprehensive (income) loss attributable to noncontrolling interests: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People Incorporated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The accompanying </w:t>
      </w:r>
      <w:hyperlink w:anchor="i473dc8f3a1b24875b0036ddd45bfe466_34">
        <w:r>
          <w:rPr>
            <w:rStyle w:val="InternetLink"/>
            <w:rFonts w:ascii="Times New Roman;serif" w:hAnsi="Times New Roman;serif"/>
            <w:b w:val="false"/>
            <w:color w:val="0000FF"/>
            <w:sz w:val="20"/>
            <w:u w:val="single"/>
          </w:rPr>
          <w:t>Notes to Consolidated Financial Statements</w:t>
        </w:r>
      </w:hyperlink>
      <w:r>
        <w:rPr>
          <w:color w:val="000000"/>
        </w:rPr>
        <w:t xml:space="preserve"> </w:t>
      </w:r>
      <w:r>
        <w:rPr>
          <w:rFonts w:ascii="Times New Roman;serif" w:hAnsi="Times New Roman;serif"/>
          <w:b w:val="false"/>
          <w:color w:val="000000"/>
          <w:sz w:val="20"/>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PEOPLE INCORPORATED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CONSOLIDATED STATEMENT OF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4847" w:type="dxa"/>
        <w:jc w:val="center"/>
        <w:tblInd w:w="0" w:type="dxa"/>
        <w:tblLayout w:type="fixed"/>
        <w:tblCellMar>
          <w:top w:w="28" w:type="dxa"/>
          <w:left w:w="28" w:type="dxa"/>
          <w:bottom w:w="28" w:type="dxa"/>
          <w:right w:w="28" w:type="dxa"/>
        </w:tblCellMar>
      </w:tblPr>
      <w:tblGrid>
        <w:gridCol w:w="622"/>
        <w:gridCol w:w="191"/>
        <w:gridCol w:w="193"/>
        <w:gridCol w:w="189"/>
        <w:gridCol w:w="567"/>
        <w:gridCol w:w="115"/>
        <w:gridCol w:w="109"/>
        <w:gridCol w:w="109"/>
        <w:gridCol w:w="109"/>
        <w:gridCol w:w="109"/>
        <w:gridCol w:w="109"/>
        <w:gridCol w:w="109"/>
        <w:gridCol w:w="187"/>
        <w:gridCol w:w="219"/>
        <w:gridCol w:w="109"/>
        <w:gridCol w:w="109"/>
        <w:gridCol w:w="109"/>
        <w:gridCol w:w="109"/>
        <w:gridCol w:w="270"/>
        <w:gridCol w:w="271"/>
        <w:gridCol w:w="151"/>
        <w:gridCol w:w="109"/>
        <w:gridCol w:w="109"/>
        <w:gridCol w:w="109"/>
        <w:gridCol w:w="195"/>
        <w:gridCol w:w="211"/>
        <w:gridCol w:w="109"/>
        <w:gridCol w:w="109"/>
        <w:gridCol w:w="109"/>
        <w:gridCol w:w="109"/>
        <w:gridCol w:w="233"/>
        <w:gridCol w:w="233"/>
        <w:gridCol w:w="151"/>
        <w:gridCol w:w="109"/>
        <w:gridCol w:w="109"/>
        <w:gridCol w:w="109"/>
        <w:gridCol w:w="181"/>
        <w:gridCol w:w="721"/>
        <w:gridCol w:w="109"/>
        <w:gridCol w:w="109"/>
        <w:gridCol w:w="109"/>
        <w:gridCol w:w="109"/>
        <w:gridCol w:w="181"/>
        <w:gridCol w:w="631"/>
        <w:gridCol w:w="109"/>
        <w:gridCol w:w="109"/>
        <w:gridCol w:w="109"/>
        <w:gridCol w:w="109"/>
        <w:gridCol w:w="195"/>
        <w:gridCol w:w="602"/>
        <w:gridCol w:w="119"/>
        <w:gridCol w:w="109"/>
        <w:gridCol w:w="109"/>
        <w:gridCol w:w="109"/>
        <w:gridCol w:w="181"/>
        <w:gridCol w:w="631"/>
        <w:gridCol w:w="109"/>
        <w:gridCol w:w="109"/>
        <w:gridCol w:w="109"/>
        <w:gridCol w:w="109"/>
        <w:gridCol w:w="181"/>
        <w:gridCol w:w="721"/>
        <w:gridCol w:w="109"/>
        <w:gridCol w:w="327"/>
        <w:gridCol w:w="189"/>
        <w:gridCol w:w="567"/>
        <w:gridCol w:w="115"/>
        <w:gridCol w:w="327"/>
        <w:gridCol w:w="181"/>
        <w:gridCol w:w="721"/>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xml:space="preserve">Common Stock, </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xml:space="preserve">Class B common stock, </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People Incorporated</w:t>
              <w:b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6"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(695,890)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4,549,452 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507,626 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net of income taxes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pursuant to stock-based awards, net of withholding taxes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 received pursuant to the tax sharing agreement with Angi Inc. post distribution</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to redemption amount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to the liquidation value of Vivian Health preferred shares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84,182 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6,008,443 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(13,763)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5,082,381 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5,117,888 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4,763,759 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income taxes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pursuant to stock-based awards, net of withholding taxes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Payment received pursuant to the tax sharing agreement with Angi Inc. post distribution</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Allocation of certain tax attributes in connection with the Angi Inc. Distribution</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to the Angi Inc. Distribution following the repeal of Canada's digital service tax</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to redemption amount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to the liquidation value of Vivian Health preferred shares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84,182 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6,008,443 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(13,763)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(704,277)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5,082,381 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35,507 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5,117,888 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The accompanying </w:t>
      </w:r>
      <w:hyperlink w:anchor="i473dc8f3a1b24875b0036ddd45bfe466_34">
        <w:r>
          <w:rPr>
            <w:rStyle w:val="InternetLink"/>
            <w:rFonts w:ascii="Times New Roman;serif" w:hAnsi="Times New Roman;serif"/>
            <w:b w:val="false"/>
            <w:color w:val="0000FF"/>
            <w:sz w:val="18"/>
            <w:u w:val="single"/>
          </w:rPr>
          <w:t>Notes to Consolidated Financial Statements</w:t>
        </w:r>
      </w:hyperlink>
      <w:r>
        <w:rPr>
          <w:color w:val="000000"/>
        </w:rPr>
        <w:t xml:space="preserve"> </w:t>
      </w:r>
      <w:r>
        <w:rPr>
          <w:rFonts w:ascii="Times New Roman;serif" w:hAnsi="Times New Roman;serif"/>
          <w:b w:val="false"/>
          <w:color w:val="000000"/>
          <w:sz w:val="18"/>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PEOPLE INCORPORATED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CONSOLIDATED STATEMENT OF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4882" w:type="dxa"/>
        <w:jc w:val="center"/>
        <w:tblInd w:w="0" w:type="dxa"/>
        <w:tblLayout w:type="fixed"/>
        <w:tblCellMar>
          <w:top w:w="28" w:type="dxa"/>
          <w:left w:w="28" w:type="dxa"/>
          <w:bottom w:w="28" w:type="dxa"/>
          <w:right w:w="28" w:type="dxa"/>
        </w:tblCellMar>
      </w:tblPr>
      <w:tblGrid>
        <w:gridCol w:w="622"/>
        <w:gridCol w:w="191"/>
        <w:gridCol w:w="193"/>
        <w:gridCol w:w="189"/>
        <w:gridCol w:w="567"/>
        <w:gridCol w:w="115"/>
        <w:gridCol w:w="109"/>
        <w:gridCol w:w="109"/>
        <w:gridCol w:w="109"/>
        <w:gridCol w:w="109"/>
        <w:gridCol w:w="109"/>
        <w:gridCol w:w="109"/>
        <w:gridCol w:w="187"/>
        <w:gridCol w:w="219"/>
        <w:gridCol w:w="109"/>
        <w:gridCol w:w="109"/>
        <w:gridCol w:w="109"/>
        <w:gridCol w:w="109"/>
        <w:gridCol w:w="270"/>
        <w:gridCol w:w="271"/>
        <w:gridCol w:w="151"/>
        <w:gridCol w:w="109"/>
        <w:gridCol w:w="109"/>
        <w:gridCol w:w="109"/>
        <w:gridCol w:w="195"/>
        <w:gridCol w:w="211"/>
        <w:gridCol w:w="109"/>
        <w:gridCol w:w="109"/>
        <w:gridCol w:w="109"/>
        <w:gridCol w:w="109"/>
        <w:gridCol w:w="233"/>
        <w:gridCol w:w="233"/>
        <w:gridCol w:w="151"/>
        <w:gridCol w:w="109"/>
        <w:gridCol w:w="109"/>
        <w:gridCol w:w="109"/>
        <w:gridCol w:w="181"/>
        <w:gridCol w:w="721"/>
        <w:gridCol w:w="109"/>
        <w:gridCol w:w="109"/>
        <w:gridCol w:w="109"/>
        <w:gridCol w:w="109"/>
        <w:gridCol w:w="181"/>
        <w:gridCol w:w="631"/>
        <w:gridCol w:w="109"/>
        <w:gridCol w:w="109"/>
        <w:gridCol w:w="109"/>
        <w:gridCol w:w="109"/>
        <w:gridCol w:w="195"/>
        <w:gridCol w:w="602"/>
        <w:gridCol w:w="119"/>
        <w:gridCol w:w="109"/>
        <w:gridCol w:w="109"/>
        <w:gridCol w:w="109"/>
        <w:gridCol w:w="181"/>
        <w:gridCol w:w="631"/>
        <w:gridCol w:w="109"/>
        <w:gridCol w:w="109"/>
        <w:gridCol w:w="109"/>
        <w:gridCol w:w="109"/>
        <w:gridCol w:w="181"/>
        <w:gridCol w:w="721"/>
        <w:gridCol w:w="109"/>
        <w:gridCol w:w="327"/>
        <w:gridCol w:w="181"/>
        <w:gridCol w:w="616"/>
        <w:gridCol w:w="109"/>
        <w:gridCol w:w="327"/>
        <w:gridCol w:w="181"/>
        <w:gridCol w:w="721"/>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xml:space="preserve">Common Stock, </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xml:space="preserve">Class B common stock, </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People Incorporated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5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82,622 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4,737,438 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net of income taxes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pursuant to stock-based awards, net of withholding taxes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to redemption amount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to the liquidation value of Vivian Health preferred shares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82,946 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5,920,478 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4,911,092 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4,937,503 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84,831 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6,278,973 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(loss)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net of income taxes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pursuant to stock-based awards, net of withholding taxes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Forfeiture of the Company's former CEO's restricted common stock award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Withholding taxes paid on transfer of Angi Inc. Class B shares to the Company's former CEO</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Angi Inc. common stock pursuant to stock-based awards, net of withholding taxes, prior to the Distribution</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Angi Inc. treasury stock prior to the Distribution</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of noncontrolling interests to redemption amount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 to the liquidation value of Vivian Health preferred shares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of the Company's investment in Angi Inc.</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 of Angi Inc. noncontrolling interest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82,946 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5,920,478 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(453,966)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4,911,092 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4,937,503 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The accompanying </w:t>
      </w:r>
      <w:hyperlink w:anchor="i473dc8f3a1b24875b0036ddd45bfe466_34">
        <w:r>
          <w:rPr>
            <w:rStyle w:val="InternetLink"/>
            <w:rFonts w:ascii="Times New Roman;serif" w:hAnsi="Times New Roman;serif"/>
            <w:b w:val="false"/>
            <w:color w:val="0000FF"/>
            <w:sz w:val="18"/>
            <w:u w:val="single"/>
          </w:rPr>
          <w:t>Notes to Consolidated Financial Statements</w:t>
        </w:r>
      </w:hyperlink>
      <w:r>
        <w:rPr>
          <w:color w:val="000000"/>
        </w:rPr>
        <w:t xml:space="preserve"> </w:t>
      </w:r>
      <w:r>
        <w:rPr>
          <w:rFonts w:ascii="Times New Roman;serif" w:hAnsi="Times New Roman;serif"/>
          <w:b w:val="false"/>
          <w:color w:val="000000"/>
          <w:sz w:val="18"/>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PEOPLE INCORPORATED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728"/>
        <w:gridCol w:w="2372"/>
        <w:gridCol w:w="2379"/>
        <w:gridCol w:w="196"/>
        <w:gridCol w:w="871"/>
        <w:gridCol w:w="109"/>
        <w:gridCol w:w="109"/>
        <w:gridCol w:w="109"/>
        <w:gridCol w:w="109"/>
        <w:gridCol w:w="196"/>
        <w:gridCol w:w="871"/>
        <w:gridCol w:w="156"/>
      </w:tblGrid>
      <w:tr>
        <w:trPr/>
        <w:tc>
          <w:tcPr>
            <w:tcW w:w="2728"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 attributable to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on the sale of Care.com, net of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Earnings from discontinued operations, net of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(loss) attributable to continuing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(loss) attributable to continuing operations to net cash provided by (used in) operating activities attributable to continuing operations: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 in MGM Resorts International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an unutilized domain name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(including right-of-use asset impairments)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downward adjustments to the carrying value of equity securities without readily determinable fair values and net gains on sales of investments and businesses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on amendments and early terminations of lease agreements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of dispositions: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and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 attributable to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 attributable to continuing operations: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the sale of Care.com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MGM Resorts International common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Angi Inc.'s cash in the Distribution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an unutilized domain name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the sales of investments and businesses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a portion of the retirement investment fund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 attributable to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 attributable to continuing operations: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the Term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(1,425,773)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the Term Loans refinancing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the 2032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behalf of employees on net settled stock-based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Angi Inc. pursuant to the tax sharing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 attributable to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provided by (used in) continuing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 attributable to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attributable to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attributable to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(used in) provided by discontinued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1,103,459 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The accompanying </w:t>
      </w:r>
      <w:hyperlink w:anchor="i473dc8f3a1b24875b0036ddd45bfe466_34">
        <w:r>
          <w:rPr>
            <w:rStyle w:val="InternetLink"/>
            <w:rFonts w:ascii="Times New Roman;serif" w:hAnsi="Times New Roman;serif"/>
            <w:b w:val="false"/>
            <w:color w:val="0000FF"/>
            <w:sz w:val="18"/>
            <w:u w:val="single"/>
          </w:rPr>
          <w:t>Notes to Consolidated Financial Statements</w:t>
        </w:r>
      </w:hyperlink>
      <w:r>
        <w:rPr>
          <w:color w:val="000000"/>
        </w:rPr>
        <w:t xml:space="preserve"> </w:t>
      </w:r>
      <w:r>
        <w:rPr>
          <w:rFonts w:ascii="Times New Roman;serif" w:hAnsi="Times New Roman;serif"/>
          <w:b w:val="false"/>
          <w:color w:val="000000"/>
          <w:sz w:val="18"/>
        </w:rPr>
        <w:t>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1—THE COMPANY AND SUMMARY OF SIGNIFICANT ACCOUNTING POLICIES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4, 2026, IAC Inc. changed its name to People Incorporated (NASDAQ: PPLI), which is the owner of publisher, People Inc. Group. People Incorporated also holds a significant minority stake in MGM Resorts International (“MGM”).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30, 2026, Dotdash Meredith Inc. amended and restated its certificate of incorporation to change its name to People Inc. Group. As used herein, “People Inc.” refers to People Inc. Group.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herein, “People Incorporated,” the “Company,” “we,” “our,” “us” and other similar terms refer to People Incorporated and its subsidiaries (unless the context requires otherwise).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Proposed Acquisition of MGM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announced that it submitted a non-binding proposal to the board of directors of MGM to acquire all outstanding shares of MGM that the Company does not already own for $48.30 per share in cash. The Company reserves the right to withdraw or modify the proposal at any time, or to terminate discussions and negotiations at any time in our sole discretion. No legal obligation with respect to our proposal or any other matter will arise unless and until we have executed definitive transaction documentation with MGM.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Restructuring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28, 2026, the Company initiated a plan to consolidate its corporate functions with those of People Inc. through a reduction in workforce, technology integrations and other cost-saving measures over the coming quarters (the “Plan”). The Plan is expected to be completed during the first quarter of 2027.</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costs expected to be incurred in connection with the Plan are approximately $63.0 million, including approximately $14.0 million in severance and employee separation benefits, $48.0 million in stock-based compensation expense and $0.5 million in other costs related to the Plan. The total expected stock-based compensation expense includes approximately $32.0 million of expense associated with awards that were modified to vest in connection with the Plan and $16.0 million of expense associated with awards that accelerate based on the original terms of the award agreements. The estimates of the charges and expenditures that the Company expects to incur in connection with the Plan, and the timing thereof, are subject to a number of assumptions and actual amounts may differ materially from these estimates. In addition, the Company may incur other charges or cash expenditures not currently contemplated due to unanticipated events that may occur in connection with the implementation of the Plan.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incurred $0.8 million and $11.1 million of severance and employee separation benefits, respectively, related to the Plan, net of reversals of $0.5 million of previously recorded accrued costs. During both the three and six months ended June 30, 2026, the Company incurred $25.8 million of stock-based compensation expense and $0.2 million of other costs related to the Plan. All charges related to the Plan are included in “General and administrative expense” in the statement of operations. At June 30, 2026, $11.1 million in severance and employee separation benefits is accrued related to the Plan, which is included in “Accrued expenses and other current liabilities” in the balance sheet.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the Company moves away from its holding company structure and in connection with the Plan, Christopher Halpin will cease to serve as Executive Vice President (“EVP”), Chief Operating Officer and Chief Financial Officer (“CFO”) of the Company, and Kendall Handler will cease to serve as EVP and Chief Legal Officer of the Company, in each case, effective August 5, 2026 (the “Separation Effective Date”). Upon the Separation Effective Date, Neil Vogel, who served as Chief Executive Officer (“CEO”) of People Inc., will become CEO of the Company, and Timothy Quinn, who served as the CFO of People Inc., will become CFO of the Company. Mr. Halpin and Ms. Handler have each entered into employment transition agreements with the Company, each dated April 27, 2026, pursuant to which each executive will serve in their respective positions through the Separation Effective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Shutdown of Search Segment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10, 2025, the Company received a notice of non-renewal (the “Notice”) from Google Inc. of the services agreement, dated October 26, 2015 and as subsequently amended (the “Services Agreement”). As a result of the Notice, the Services Agreement was due to expire on March 31, 2026; the Services Agreement was extended through April 30, 2026, at which point the Services Agreement expired. In connection with the expiration of the Services Agreement the Company ceased operations of its Search segment, which are presented as discontinued operations within the Company’s consolidated financial statements for all periods presented.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Sale of Care.com </w:t>
      </w:r>
    </w:p>
    <w:p>
      <w:pPr>
        <w:pStyle w:val="TextBody"/>
        <w:bidi w:val="0"/>
        <w:spacing w:lineRule="auto" w:line="276"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the sale of its wholly-owned subsidiary, Care.com, for net proceeds of $300.2 million. In July 2026, the remaining $4.5 million of cash proceeds, which was held in escrow at June 30, 2026, was received by the Company. As a result of the transaction, the consolidated operations of Care.com are presented as discontinued operations within the Company’s consolidated financial statements for all periods prior to March 16, 2026.</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Angi Inc. Distribution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completed the spin-off of Angi Inc. (“Angi”) by means of a special dividend (the “Distribution”) of all shares of Angi capital stock held by the Company to holders of its common stock and Class B common stock. Following the Distribution, the Company no longer owns any shares of Angi’s capital stock and Angi became an independent public company. As a result of the Distribution, the consolidated operations of Angi are presented as discontinued operations within the Company’s consolidated financial statements for all periods prior to March 31, 2025.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See “</w:t>
      </w:r>
      <w:hyperlink w:anchor="i473dc8f3a1b24875b0036ddd45bfe466_91">
        <w:r>
          <w:rPr>
            <w:rStyle w:val="InternetLink"/>
            <w:rFonts w:ascii="Times New Roman;serif" w:hAnsi="Times New Roman;serif"/>
            <w:b w:val="false"/>
            <w:color w:val="0000FF"/>
            <w:sz w:val="20"/>
            <w:u w:val="single"/>
          </w:rPr>
          <w:t>Note 13—Discontinued Operations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(referred to herein as “financial statements”) in accordance with United States (“U.S.”) generally accepted accounting principles (“GAAP”). The financial statements include all accounts of the Company, all entities that are wholly-owned by the Company and all entities in which the Company has a controlling financial interest. All intercompany transactions and balances between entities comprising the Company have been eliminated.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unaudited interim financial statements have been prepared in accordance with GAAP for interim financial information and with the rules and regulations of the Securities and Exchange Commission (“SEC”). Accordingly, they do not include all the information and notes required by GAAP for complete annual financial statements. In the opinion of management, the unaudited interim financial statements include all normal recurring adjustments considered necessary for a fair presentation. Interim results are not necessarily indicative of the results that may be expected for the full year. The unaudited interim financial statements should be read in conjunction with the annual audited financial statements and notes thereto included in the Company's Annual Report on Form 10-K for the year ended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Accounting Estimates</w:t>
      </w:r>
    </w:p>
    <w:p>
      <w:pPr>
        <w:pStyle w:val="TextBody"/>
        <w:bidi w:val="0"/>
        <w:spacing w:lineRule="auto" w:line="288" w:before="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Management of the Company is required to make certain estimates, judgments and assumptions, if applicable, during the preparation of its financial statements in accordance with GAAP. These estimates, judgments and assumptions affect the amounts reported in the financial statements and the disclosures in the accompanying notes.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judgments and assumptions, if applicable, including those related to: the fair value of cash equivalents; the carrying value of accounts receivable, including the determination of the allowance for credit losses; the recoverability of right-of-use assets (“ROU assets”); the useful lives and recoverability of buildings, equipment, leasehold improvements and capitalized software and definite-lived intangible assets; the recoverability of goodwill and indefinite-lived intangible assets; the fair value of equity securities without readily determinable fair values; the fair value of interest rate swaps; contingencies; unrecognized tax benefits; the valuation allowance for deferred income tax assets; pension and post-retirement benefit plan assets and liabilities, including actuarial assumptions regarding discount rates, expected returns on plan assets, inflation and healthcare costs; and the fair value of and forfeiture rates for stock-based awards, among others. The Company bases its estimates, judgments and assumptions on historical experience, its forecasts and budgets and other factors that the Company considers relevant.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Revenue Recognition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accounts for a contract with a customer when it has approval and commitment from all authorized parties, the rights of the parties and payment terms are identified, the contract has commercial substance and collectability of the consideration is probable. Revenue is recognized when control of the promised services or goods is transferred to the Company’s customers and in an amount that reflects the consideration the Company expects to be entitled to in exchange for those services or goods.</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Company’s disaggregated revenue disclosures are presented in “</w:t>
      </w:r>
      <w:hyperlink w:anchor="i473dc8f3a1b24875b0036ddd45bfe466_58">
        <w:r>
          <w:rPr>
            <w:rStyle w:val="InternetLink"/>
            <w:rFonts w:ascii="Times New Roman;serif" w:hAnsi="Times New Roman;serif"/>
            <w:b w:val="false"/>
            <w:color w:val="0000FF"/>
            <w:sz w:val="20"/>
            <w:u w:val="single"/>
          </w:rPr>
          <w:t>Note 6—Segment Information</w:t>
        </w:r>
      </w:hyperlink>
      <w:r>
        <w:rPr>
          <w:rFonts w:ascii="Times New Roman;serif" w:hAnsi="Times New Roman;serif"/>
          <w:b w:val="false"/>
          <w:color w:val="000000"/>
          <w:sz w:val="20"/>
        </w:rPr>
        <w:t>.”</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Practical Expedients and Exemptions</w:t>
      </w:r>
    </w:p>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For contracts that have an original duration of one year or less, the Company uses the practical expedient available under Financial Accounting Standards Board (“FASB”)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applicable to such contracts and does not consider the time value of money.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as permitted under the practical expedient available under ASC 606, the Company does not disclose the value of unsatisfied performance obligations for (i) contracts with an original expected length of one year or less, (ii) contracts with variable consideration that is tied to sales-based or usage-based royalties, allocated entirely to unsatisfied performance obligations, or to a wholly unsatisfied promise accounted for under the series guidance and (iii) contracts for which the Company recognizes revenue at the amount which it has the right to invoice for services performed.</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also applies the practical expedient to expense commissions paid pursuant to sales incentive programs as incurred where the anticipated customer relationship period is one year or less.</w:t>
      </w:r>
    </w:p>
    <w:p>
      <w:pPr>
        <w:pStyle w:val="TextBody"/>
        <w:bidi w:val="0"/>
        <w:spacing w:before="0" w:after="0"/>
        <w:ind w:left="0" w:right="0" w:firstLine="450"/>
        <w:jc w:val="left"/>
        <w:rPr/>
      </w:pPr>
      <w:r>
        <w:rPr/>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consists of payments received or amounts contractually due in advance of the Company's performance obligation. The Company’s deferred revenue is reported on a contract-by-contract basis at the end of each reporting period. The Company classifies deferred revenue as current when the remaining term or expected completion of its performance obligation is one year or less.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deferred revenue:</w:t>
      </w:r>
    </w:p>
    <w:tbl>
      <w:tblPr>
        <w:tblW w:w="7914" w:type="dxa"/>
        <w:jc w:val="left"/>
        <w:tblInd w:w="0" w:type="dxa"/>
        <w:tblLayout w:type="fixed"/>
        <w:tblCellMar>
          <w:top w:w="28" w:type="dxa"/>
          <w:left w:w="28" w:type="dxa"/>
          <w:bottom w:w="28" w:type="dxa"/>
          <w:right w:w="28" w:type="dxa"/>
        </w:tblCellMar>
      </w:tblPr>
      <w:tblGrid>
        <w:gridCol w:w="1979"/>
        <w:gridCol w:w="1733"/>
        <w:gridCol w:w="1748"/>
        <w:gridCol w:w="211"/>
        <w:gridCol w:w="721"/>
        <w:gridCol w:w="109"/>
        <w:gridCol w:w="109"/>
        <w:gridCol w:w="109"/>
        <w:gridCol w:w="109"/>
        <w:gridCol w:w="211"/>
        <w:gridCol w:w="721"/>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deferred revenue balance recognized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primarily due to timing of collections and recognition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deferred revenue was $0.2 million and less than $0.1 million at June 30, 2026 and December 31, 2025, respectively, and is included in “Other long-term liabilities” in the balance sheet.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 by the Company</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ASU No. 2024-03—Income Statement-Reporting Comprehensive Income—Expense Disaggregation Disclosures (Subtopic 220-40)—Disaggregation of Income Statement Expenses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which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purchases of inventory, employee compensation, depreciation and amortization, as well as a qualitative description of the amounts remaining in relevant expense captions that are not separately disaggregated quantitatively. ASU No. 2024-03 also requires disclosure of the total amount of selling expenses and, in annual reporting periods, the definition of selling expenses. ASU No. 2024-03 is effective for fiscal years beginning after December 15, 2026 and for interim periods beginning after December 15, 2027. Early adoption is permitted and ASU No. 2024-03 may be applied either prospectively or retrospectively. ASU No. 2024-03 does not affect the Company’s results of operations, financial condition or cash flows. The Company plans to apply ASU 2024-03 on a prospective basis and does not plan to early adopt ASU No. 2024-03; the Company is currently assessing its impact on its disclosures.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ASU No. 2025-06—Intangibles—Goodwill and Other— Internal-Use Software (Subtopic 350-40): Targeted Improvements to Accounting for Internal-Use Software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which amends the existing standard by removing references to software development project stages and clarifying the criteria for capitalization. ASU No. 2025-06 is effective for fiscal years beginning after December 15, 2027 and for interim periods within those fiscal years. Early adoption is permitted, and ASU No. 2025-06 may be applied prospectively, retrospectively or with a modified transition approach. The Company is (i) assessing the timing of its adoption of ASU No. 2025-06, (ii) expects to adopt ASU No. 2025-06 on a prospective basis and (iii) is assessing the impact of its adoption on its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2—FINANCIAL INSTRUMENTS AND FAIR VALUE MEASUREMENTS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Investment in MGM</w:t>
      </w:r>
    </w:p>
    <w:tbl>
      <w:tblPr>
        <w:tblW w:w="4937" w:type="dxa"/>
        <w:jc w:val="left"/>
        <w:tblInd w:w="0" w:type="dxa"/>
        <w:tblLayout w:type="fixed"/>
        <w:tblCellMar>
          <w:top w:w="28" w:type="dxa"/>
          <w:left w:w="28" w:type="dxa"/>
          <w:bottom w:w="28" w:type="dxa"/>
          <w:right w:w="28" w:type="dxa"/>
        </w:tblCellMar>
      </w:tblPr>
      <w:tblGrid>
        <w:gridCol w:w="641"/>
        <w:gridCol w:w="563"/>
        <w:gridCol w:w="565"/>
        <w:gridCol w:w="211"/>
        <w:gridCol w:w="976"/>
        <w:gridCol w:w="109"/>
        <w:gridCol w:w="109"/>
        <w:gridCol w:w="109"/>
        <w:gridCol w:w="109"/>
        <w:gridCol w:w="243"/>
        <w:gridCol w:w="1125"/>
        <w:gridCol w:w="177"/>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MGM</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3,194,777 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2,401,858 </w:t>
            </w:r>
          </w:p>
        </w:tc>
        <w:tc>
          <w:tcPr>
            <w:tcW w:w="1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At June 30, 2026, the Company owns 66.8 million common shares of MGM, including 1.0 million common shares purchased in the first quarter of 2026 for $37.2 million, which represents approximately 26.6% of </w:t>
      </w:r>
      <w:r>
        <w:rPr>
          <w:rFonts w:ascii="Times New Roman;serif" w:hAnsi="Times New Roman;serif"/>
          <w:b w:val="false"/>
          <w:color w:val="000000"/>
          <w:sz w:val="20"/>
          <w:shd w:fill="FFFFFF" w:val="clear"/>
        </w:rPr>
        <w:t>MGM's common shares outstanding</w:t>
      </w:r>
      <w:r>
        <w:rPr>
          <w:rFonts w:ascii="Times New Roman;serif" w:hAnsi="Times New Roman;serif"/>
          <w:b w:val="false"/>
          <w:color w:val="000000"/>
          <w:sz w:val="20"/>
        </w:rPr>
        <w:t>. The Company accounts for its investment in MGM under the equity method of accounting using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 For the three and six months ended June 30, 2026, the Company recorded unrealized pre-tax gains of $721.7 million and $755.7 million, respectively, from its investment in MGM. For the three and six months ended June 30, 2025, the Company recorded an unrealized pre-tax gain and loss of $307.4 million and $16.8 million, respectively, from its investment in MGM</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cumulative unrealized net pre-tax gain through June 30, 2026 is </w:t>
      </w:r>
      <w:r>
        <w:rPr>
          <w:rFonts w:ascii="Times New Roman;serif" w:hAnsi="Times New Roman;serif"/>
          <w:b w:val="false"/>
          <w:color w:val="000000"/>
          <w:sz w:val="20"/>
          <w:shd w:fill="FFFFFF" w:val="clear"/>
        </w:rPr>
        <w:t>$1.9 billion</w:t>
      </w:r>
      <w:r>
        <w:rPr>
          <w:rFonts w:ascii="Times New Roman;serif" w:hAnsi="Times New Roman;serif"/>
          <w:b w:val="false"/>
          <w:color w:val="000000"/>
          <w:sz w:val="20"/>
        </w:rPr>
        <w:t xml:space="preserve">. A $2.00 increase or decrease in the share price of MGM would result in an unrealized gain or loss, respectively, of $133.6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3, 2026, the Company entered into a voting agreement with MGM and Barry Diller (the “MGM Voting Agreement”). Pursuant to the MGM Voting Agreement, when a matter is brought to a vote at an annual or special MGM shareholder meeting (or by written consent in lieu of a meeting), the Company, Mr. Diller and their controlled affiliates (the “Covered Entities”) will vote the voting securities they beneficially own in excess of 25.73% of MGM’s total voting power (the “Excess Voting Securities”) in the same proportion as MGM’s other voting shareholders vote on that matter (excluding shareholders who do not vote).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MGM Voting Agreement automatically terminates upon the earliest of: (a) the Covered Entities collectively ceasing to beneficially own at least 17.5% of MGM’s outstanding voting securities; (b) the MGM Board’s failure to nominate two directors designated by the Company (if the Company has designated two directors) who qualify under MGM’s Corporate Governance Guidelines (“Qualified Directors”) to stand for election (the “Nomination Condition”); or (c) a change of control of MGM. If the Company chooses not to designate one or more directors, the MGM Voting Agreement does not terminate. In order to satisfy the Nomination Condition, if at any time the MGM Board has fewer than two Company designated directors, the MGM Board must add Qualified Director(s) within one month of the Company’s designation (subject to required regulatory approvals). At signing, Mr. Diller was deemed designated by the Company to serve on the MGM Board.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Mr. Diller and his controlled affiliates (other than the Company and its affiliates, the “Diller Entities”) will cease to be subject to the voting limitation on the Excess Voting Securities and will no longer be considered Covered Entities when both: (i) Mr. Diller no longer serves as the Company’s Chairman or Senior Executive, and (ii) the Diller Entities no longer beneficially own voting securities of the Company representing at least one</w:t>
        <w:noBreakHyphen/>
        <w:t>third of the Company’s total voting power.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MGM’s summarized financial information for the six months ended June 30, 2026 and 2025. As noted above, the Company accounts for its investment in MGM under the equity method of accounting using the fair value option. As a result, the carrying value of our investment and the gain or loss in any given period are not necessarily correlated with the income statement information presented below.</w:t>
      </w:r>
    </w:p>
    <w:tbl>
      <w:tblPr>
        <w:tblW w:w="5753" w:type="dxa"/>
        <w:jc w:val="left"/>
        <w:tblInd w:w="0" w:type="dxa"/>
        <w:tblLayout w:type="fixed"/>
        <w:tblCellMar>
          <w:top w:w="28" w:type="dxa"/>
          <w:left w:w="28" w:type="dxa"/>
          <w:bottom w:w="28" w:type="dxa"/>
          <w:right w:w="28" w:type="dxa"/>
        </w:tblCellMar>
      </w:tblPr>
      <w:tblGrid>
        <w:gridCol w:w="1010"/>
        <w:gridCol w:w="884"/>
        <w:gridCol w:w="895"/>
        <w:gridCol w:w="211"/>
        <w:gridCol w:w="976"/>
        <w:gridCol w:w="109"/>
        <w:gridCol w:w="109"/>
        <w:gridCol w:w="109"/>
        <w:gridCol w:w="109"/>
        <w:gridCol w:w="211"/>
        <w:gridCol w:w="97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MGM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Long-term Investments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investments consist of:</w:t>
      </w:r>
    </w:p>
    <w:tbl>
      <w:tblPr>
        <w:tblW w:w="7786" w:type="dxa"/>
        <w:jc w:val="left"/>
        <w:tblInd w:w="0" w:type="dxa"/>
        <w:tblLayout w:type="fixed"/>
        <w:tblCellMar>
          <w:top w:w="28" w:type="dxa"/>
          <w:left w:w="28" w:type="dxa"/>
          <w:bottom w:w="28" w:type="dxa"/>
          <w:right w:w="28" w:type="dxa"/>
        </w:tblCellMar>
      </w:tblPr>
      <w:tblGrid>
        <w:gridCol w:w="1729"/>
        <w:gridCol w:w="1516"/>
        <w:gridCol w:w="1524"/>
        <w:gridCol w:w="211"/>
        <w:gridCol w:w="826"/>
        <w:gridCol w:w="109"/>
        <w:gridCol w:w="109"/>
        <w:gridCol w:w="109"/>
        <w:gridCol w:w="109"/>
        <w:gridCol w:w="273"/>
        <w:gridCol w:w="1072"/>
        <w:gridCol w:w="199"/>
      </w:tblGrid>
      <w:tr>
        <w:trPr/>
        <w:tc>
          <w:tcPr>
            <w:tcW w:w="172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without readily determinable fair values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Equity Securities without Readily Determinable Fair Values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unrealized pre-tax gains and losses recorded in “Other income, net” in the statement of operations as adjustments to the carrying value of equity securities without readily determinable fair values held at June 30, 2026 and 2025.</w:t>
      </w:r>
    </w:p>
    <w:tbl>
      <w:tblPr>
        <w:tblW w:w="10205" w:type="dxa"/>
        <w:jc w:val="left"/>
        <w:tblInd w:w="0" w:type="dxa"/>
        <w:tblLayout w:type="fixed"/>
        <w:tblCellMar>
          <w:top w:w="28" w:type="dxa"/>
          <w:left w:w="28" w:type="dxa"/>
          <w:bottom w:w="28" w:type="dxa"/>
          <w:right w:w="28" w:type="dxa"/>
        </w:tblCellMar>
      </w:tblPr>
      <w:tblGrid>
        <w:gridCol w:w="1879"/>
        <w:gridCol w:w="1648"/>
        <w:gridCol w:w="1658"/>
        <w:gridCol w:w="217"/>
        <w:gridCol w:w="419"/>
        <w:gridCol w:w="112"/>
        <w:gridCol w:w="112"/>
        <w:gridCol w:w="112"/>
        <w:gridCol w:w="112"/>
        <w:gridCol w:w="217"/>
        <w:gridCol w:w="807"/>
        <w:gridCol w:w="112"/>
        <w:gridCol w:w="109"/>
        <w:gridCol w:w="109"/>
        <w:gridCol w:w="109"/>
        <w:gridCol w:w="211"/>
        <w:gridCol w:w="676"/>
        <w:gridCol w:w="109"/>
        <w:gridCol w:w="109"/>
        <w:gridCol w:w="109"/>
        <w:gridCol w:w="109"/>
        <w:gridCol w:w="211"/>
        <w:gridCol w:w="781"/>
        <w:gridCol w:w="158"/>
      </w:tblGrid>
      <w:tr>
        <w:trPr/>
        <w:tc>
          <w:tcPr>
            <w:tcW w:w="187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85"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Downward adjustments including impairments (gross unrealized pre-tax losses)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cumulative upward and downward adjustments (including impairments) to the carrying value of equity securities without readily determinable fair values held at June 30, 2026 were $31.4 million and $175.6 million, respectively.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Realized and unrealized pre-tax gains and losses for the Company’s investments without readily determinable fair values for the three and six months ended June 30, 2026 and 2025 are as follows:</w:t>
      </w:r>
    </w:p>
    <w:tbl>
      <w:tblPr>
        <w:tblW w:w="9660" w:type="dxa"/>
        <w:jc w:val="center"/>
        <w:tblInd w:w="0" w:type="dxa"/>
        <w:tblLayout w:type="fixed"/>
        <w:tblCellMar>
          <w:top w:w="28" w:type="dxa"/>
          <w:left w:w="28" w:type="dxa"/>
          <w:bottom w:w="28" w:type="dxa"/>
          <w:right w:w="28" w:type="dxa"/>
        </w:tblCellMar>
      </w:tblPr>
      <w:tblGrid>
        <w:gridCol w:w="1657"/>
        <w:gridCol w:w="1456"/>
        <w:gridCol w:w="1461"/>
        <w:gridCol w:w="220"/>
        <w:gridCol w:w="424"/>
        <w:gridCol w:w="113"/>
        <w:gridCol w:w="113"/>
        <w:gridCol w:w="113"/>
        <w:gridCol w:w="113"/>
        <w:gridCol w:w="220"/>
        <w:gridCol w:w="831"/>
        <w:gridCol w:w="113"/>
        <w:gridCol w:w="109"/>
        <w:gridCol w:w="109"/>
        <w:gridCol w:w="109"/>
        <w:gridCol w:w="211"/>
        <w:gridCol w:w="691"/>
        <w:gridCol w:w="109"/>
        <w:gridCol w:w="109"/>
        <w:gridCol w:w="109"/>
        <w:gridCol w:w="109"/>
        <w:gridCol w:w="211"/>
        <w:gridCol w:w="796"/>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pre-tax gains, net, for equity securities sold</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pre-tax losses, net, on equity securities held</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pre-tax losses recognized</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pre-tax gains and losses on equity securities without readily determinable fair values, realized and unrealized, are recognized in “Other income, net” in the statement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categorizes its financial instruments measured at fair value into a fair value hierarchy that prioritizes the inputs used in pricing the asset or liability. The three levels of the fair value hierarchy are: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Level 1: Observable inputs obtained from independent sources, such as quoted market prices for identical assets and liabilities in active markets.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Level 2: Other inputs, which are observable directly or indirectly, such as quoted market prices for similar assets or liabilities in active markets, quoted market prices for identical or similar assets or liabilities in markets that are not active and inputs that are derived principally from or corroborated by observable market data. The fair values of the Company’s Level 2 financial assets are primarily obtained from observable market prices for identical underlying securities that may not be actively traded. Certain of these securities may have different market prices from multiple market data sources, in which case an average market price is used.</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Level 3: Unobservable inputs for which there is little or no market data and require the Company to develop its own assumptions, based on the best information available in the circumstances, about the assumptions market participants would use in pricing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financial instruments that are measured at fair value on a recurring basis:</w:t>
      </w:r>
    </w:p>
    <w:tbl>
      <w:tblPr>
        <w:tblW w:w="7223" w:type="dxa"/>
        <w:jc w:val="left"/>
        <w:tblInd w:w="0" w:type="dxa"/>
        <w:tblLayout w:type="fixed"/>
        <w:tblCellMar>
          <w:top w:w="28" w:type="dxa"/>
          <w:left w:w="28" w:type="dxa"/>
          <w:bottom w:w="28" w:type="dxa"/>
          <w:right w:w="28" w:type="dxa"/>
        </w:tblCellMar>
      </w:tblPr>
      <w:tblGrid>
        <w:gridCol w:w="656"/>
        <w:gridCol w:w="577"/>
        <w:gridCol w:w="582"/>
        <w:gridCol w:w="211"/>
        <w:gridCol w:w="976"/>
        <w:gridCol w:w="109"/>
        <w:gridCol w:w="109"/>
        <w:gridCol w:w="109"/>
        <w:gridCol w:w="109"/>
        <w:gridCol w:w="211"/>
        <w:gridCol w:w="721"/>
        <w:gridCol w:w="109"/>
        <w:gridCol w:w="109"/>
        <w:gridCol w:w="109"/>
        <w:gridCol w:w="109"/>
        <w:gridCol w:w="211"/>
        <w:gridCol w:w="406"/>
        <w:gridCol w:w="109"/>
        <w:gridCol w:w="109"/>
        <w:gridCol w:w="109"/>
        <w:gridCol w:w="109"/>
        <w:gridCol w:w="214"/>
        <w:gridCol w:w="994"/>
        <w:gridCol w:w="156"/>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br/>
              <w:t>Measurements</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MGM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4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The fair value of interest rate swaps was determined using discounted cash flows derived from observable market prices, including swap curves, which are Level 2 inputs. See </w:t>
      </w:r>
      <w:r>
        <w:rPr>
          <w:color w:val="000000"/>
        </w:rPr>
        <w:t>“</w:t>
      </w:r>
      <w:hyperlink w:anchor="i473dc8f3a1b24875b0036ddd45bfe466_46">
        <w:r>
          <w:rPr>
            <w:rStyle w:val="InternetLink"/>
            <w:rFonts w:ascii="Times New Roman;serif" w:hAnsi="Times New Roman;serif"/>
            <w:b w:val="false"/>
            <w:color w:val="0000FF"/>
            <w:sz w:val="16"/>
            <w:u w:val="single"/>
          </w:rPr>
          <w:t>Note 3—Long-term Debt</w:t>
        </w:r>
      </w:hyperlink>
      <w:r>
        <w:rPr>
          <w:color w:val="000000"/>
        </w:rPr>
        <w:t xml:space="preserve">” </w:t>
      </w:r>
      <w:r>
        <w:rPr>
          <w:rFonts w:ascii="Times New Roman;serif" w:hAnsi="Times New Roman;serif"/>
          <w:b w:val="false"/>
          <w:color w:val="000000"/>
          <w:sz w:val="16"/>
        </w:rPr>
        <w:t xml:space="preserve">for additional information. </w:t>
      </w:r>
    </w:p>
    <w:tbl>
      <w:tblPr>
        <w:tblW w:w="7703" w:type="dxa"/>
        <w:jc w:val="left"/>
        <w:tblInd w:w="0" w:type="dxa"/>
        <w:tblLayout w:type="fixed"/>
        <w:tblCellMar>
          <w:top w:w="28" w:type="dxa"/>
          <w:left w:w="28" w:type="dxa"/>
          <w:bottom w:w="28" w:type="dxa"/>
          <w:right w:w="28" w:type="dxa"/>
        </w:tblCellMar>
      </w:tblPr>
      <w:tblGrid>
        <w:gridCol w:w="829"/>
        <w:gridCol w:w="730"/>
        <w:gridCol w:w="736"/>
        <w:gridCol w:w="211"/>
        <w:gridCol w:w="976"/>
        <w:gridCol w:w="109"/>
        <w:gridCol w:w="109"/>
        <w:gridCol w:w="109"/>
        <w:gridCol w:w="109"/>
        <w:gridCol w:w="211"/>
        <w:gridCol w:w="721"/>
        <w:gridCol w:w="109"/>
        <w:gridCol w:w="109"/>
        <w:gridCol w:w="109"/>
        <w:gridCol w:w="109"/>
        <w:gridCol w:w="211"/>
        <w:gridCol w:w="406"/>
        <w:gridCol w:w="109"/>
        <w:gridCol w:w="109"/>
        <w:gridCol w:w="109"/>
        <w:gridCol w:w="109"/>
        <w:gridCol w:w="214"/>
        <w:gridCol w:w="994"/>
        <w:gridCol w:w="15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br/>
              <w:t>Measurements</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MGM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3,162,438 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(a)</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Assets measured at fair value on a nonrecurring basis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ROU assets, buildings, equipment, leasehold improvements and capitalized software, are adjusted to fair value only when an impairment is recognized. The Company's financial assets, comprising equity securities without readily determinable fair values, are adjusted to fair value when observable price changes for similar or identical securities are identified or an impairment is recognized. Such fair value measurements are based predominantly on Level 3 inputs.</w:t>
      </w:r>
    </w:p>
    <w:p>
      <w:pPr>
        <w:pStyle w:val="TextBody"/>
        <w:bidi w:val="0"/>
        <w:spacing w:lineRule="auto" w:line="26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Financial instruments measured at fair value only for disclosure purposes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fair value of the outstanding long-term debt, including the current portion, is estimated using observable market prices or indices for similar liabilities, which are Level 2 inputs, and was approximately $1.35 billion and $1.33 billion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3—LONG-TERM DEBT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debt consists of:</w:t>
      </w:r>
    </w:p>
    <w:tbl>
      <w:tblPr>
        <w:tblW w:w="10205" w:type="dxa"/>
        <w:jc w:val="left"/>
        <w:tblInd w:w="0" w:type="dxa"/>
        <w:tblLayout w:type="fixed"/>
        <w:tblCellMar>
          <w:top w:w="28" w:type="dxa"/>
          <w:left w:w="28" w:type="dxa"/>
          <w:bottom w:w="28" w:type="dxa"/>
          <w:right w:w="28" w:type="dxa"/>
        </w:tblCellMar>
      </w:tblPr>
      <w:tblGrid>
        <w:gridCol w:w="2591"/>
        <w:gridCol w:w="2229"/>
        <w:gridCol w:w="2243"/>
        <w:gridCol w:w="211"/>
        <w:gridCol w:w="976"/>
        <w:gridCol w:w="109"/>
        <w:gridCol w:w="109"/>
        <w:gridCol w:w="109"/>
        <w:gridCol w:w="109"/>
        <w:gridCol w:w="238"/>
        <w:gridCol w:w="1105"/>
        <w:gridCol w:w="176"/>
      </w:tblGrid>
      <w:tr>
        <w:trPr/>
        <w:tc>
          <w:tcPr>
            <w:tcW w:w="259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 due May 14, 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B-2 due June 16,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7.625% Senior Secured Notes due June 15, 2032; interest payable each June 15 and December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1,441,250 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1,401,324 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People Inc. completed the refinancing and replacement of its then outstanding debt, which comprised the then existing term loans, with a combination of new term loans and senior secured notes. People Inc. also replaced its revolving credit facility. As a result of the refinancing and replacement transaction, People Inc. recorded an extinguishment loss of $8.5 million during the second quarter of 2025 to write off a pro-rata amount of unamortized capitalized costs and the original issue discount related to the previously outstanding Term Loans and the then existing revolving credit facility. The extinguishment loss is recorded in “Interest expense” in the statement of operations. Fees incurred of $0.5 million that did not qualify for capitalization are recorded in “Other income, net” in the statement of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14, 2025, People Inc. entered into the Incremental Assumption Agreement and Amendment No. 2 to the Credit Agreement (“Amendment No. 2”), which provided for the (i) $350 million of the Term Loan A-1 (“Term Loan A-1”) and (ii) $150 million revolving credit facility (“Revolving Facility”) that expires on May 14, 2030. On June 16, 2025, People Inc. entered into the Credit Agreement and Second Amendment to the Security Agreement (“Amendment No. 3”), which governs the Term Loan A-1, Revolving Facility and provided for the $700 million of the Term Loan B-2 (“Term Loan B-2”). Additionally, on June 16, 2025, People Inc. issued 7.625% Senior Secured Notes (“2032 Notes”) and entered into an indenture that governs the 2032 Notes (the “Indenture”). The Term Loan A-1 and the Term Loan B-2 are collectively referred to herein as the “Term Loans.”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has never borrowed under its revolving credit facilities. The annual commitment fee on undrawn funds is based on People Inc.’s most recently reported consolidated net leverage ratio, as defined in the governing agreements, and was 35 basis points at both June 30, 2026 and December 31, 2025. Any borrowings under the Revolving Facility would bear interest, at People Inc.’s option, at either a base rate or secured overnight financing rate (“SOFR”), plus an applicable margin, which is based on People Inc.’s consolidated net leverage ratio, as defined in the governing agreements.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last day of any calendar quarter, People Inc. is required to maintain certain consolidated net leverage ratios, as defined in the governing agreements. If defined consolidated net leverage ratios are exceeded or if an event of default has occurred, the governing agreements contain additional covenants that would limit People Inc.’s ability to pay dividends, incur incremental secured indebtedness or make distributions or certain investments. As a result, the Company may not be able to freely access People Inc.’s cash. People Inc.’s consolidated net leverage ratio was in compliance for the test periods ended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No quarterly contributions have been made to People Inc. since the contribution that the Company made in September 2025, which People Inc. distributed back to the Company in October 2025; therefore, there were no pending contributions or distributions outstanding as of June 30, 2026 and December 31, 2025. In June 2025, the Company contributed $80 million to People Inc., which People Inc. subsequently distributed to the Company in July 2025. This contribution resulted in an improvement to People Inc.'s consolidated net leverage ratio that enabled People Inc. to reduce the interest rate on the Term Loan A-1 and the commitment fee on the Revolving Facility.</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obligations under the governing agreements are secured by substantially all of the assets of People Inc. and its subsidiaries and are guaranteed by certain People Inc. wholly-owned domestic subsidiaries.</w:t>
      </w:r>
    </w:p>
    <w:p>
      <w:pPr>
        <w:pStyle w:val="TextBody"/>
        <w:bidi w:val="0"/>
        <w:spacing w:lineRule="auto" w:line="288" w:before="0" w:after="240"/>
        <w:ind w:left="0" w:right="0" w:firstLine="450"/>
        <w:jc w:val="left"/>
        <w:rPr/>
      </w:pPr>
      <w:r>
        <w:rPr>
          <w:rFonts w:ascii="Times New Roman;serif" w:hAnsi="Times New Roman;serif"/>
          <w:b w:val="false"/>
          <w:color w:val="000000"/>
          <w:sz w:val="20"/>
        </w:rPr>
        <w:t>Pursuant to the governing agreements, the borrower, People Inc., is required to provide the administrative agent, JPMorgan Chase Bank, N.A., and lenders with certain financial information. See “</w:t>
      </w:r>
      <w:hyperlink w:anchor="i473dc8f3a1b24875b0036ddd45bfe466_94">
        <w:r>
          <w:rPr>
            <w:rStyle w:val="InternetLink"/>
            <w:rFonts w:ascii="Times New Roman;serif" w:hAnsi="Times New Roman;serif"/>
            <w:b w:val="false"/>
            <w:color w:val="0000FF"/>
            <w:sz w:val="20"/>
            <w:u w:val="single"/>
          </w:rPr>
          <w:t>Note 14—People Inc. Financial Information</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Long-term Debt Maturities: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Term Loan A-1 requires quarterly principal payments of $4.4 million through December 31, 2027, $8.8 million thereafter through December 31, 2028 and $13.1 million thereafter through maturity. The Term Loan B-2 requires quarterly principal payments, which commenced on March 31, 2026, of $1.8 million through maturity. Annually, the Term Loan B-2 may require additional principal payments as part of an excess cash flow sweep provision, the amount of which is determined, in part, by People Inc.’s applicable net leverage ratio and is further subject to the excess cash flow exceeding certain thresholds as defined in the governing agreements. No such payment was required on the Term Loan B-2 related to the period ended December 31, 2025.</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time prior to June 15, 2028, People Inc. may provide notice pursuant to the Indenture to redeem all or a part of the 2032 Notes at a redemption price equal to 100% of the principal amount of the 2032 Notes to be redeemed, plus a premium defined in the Indenture and accrued and unpaid interest. Thereafter, the 2032 Notes may be redeemed at the prices set forth in the Indenture, plus accrued and unpaid interest.</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Interest Rates and Interest Rate Swaps: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Term Loan A-1 bore interest at SOFR plus 2.00%, or 5.65% and 5.73%, respectively. At June 30, 2026 and December 31, 2025, the Term Loan B-2 bore interest at SOFR, subject to a minimum of 0.50%, plus 3.50%, or 7.12% and 7.37%, respectively. Interest payments are due at least quarterly through the respective maturity dates of the Term Loans.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People Inc. holds interest rate swaps that synthetically convert $350 million of the Term Loan B-2 from a variable rate to a fixed rate through April 1, 2027.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 then the interest rate swaps would be fixed in a range from approximately 7.32% to 7.42% as determined by the governing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pPr>
      <w:r>
        <w:rPr>
          <w:rFonts w:ascii="Times New Roman;serif" w:hAnsi="Times New Roman;serif"/>
          <w:b w:val="false"/>
          <w:color w:val="000000"/>
          <w:sz w:val="20"/>
        </w:rPr>
        <w:t>People Inc. has designated the interest rate swaps as cash flow hedges and applies hedge accounting to these contracts in accordance with FASB ASC Topic 815,</w:t>
      </w:r>
      <w:r>
        <w:rPr>
          <w:color w:val="000000"/>
        </w:rPr>
        <w:t xml:space="preserve"> </w:t>
      </w:r>
      <w:r>
        <w:rPr>
          <w:rFonts w:ascii="Times New Roman;serif" w:hAnsi="Times New Roman;serif"/>
          <w:b w:val="false"/>
          <w:i/>
          <w:color w:val="000000"/>
          <w:sz w:val="20"/>
        </w:rPr>
        <w:t>Derivatives and Hedging</w:t>
      </w:r>
      <w:r>
        <w:rPr>
          <w:rFonts w:ascii="Times New Roman;serif" w:hAnsi="Times New Roman;serif"/>
          <w:b w:val="false"/>
          <w:color w:val="000000"/>
          <w:sz w:val="20"/>
        </w:rPr>
        <w:t>. Hedge effectiveness was assessed at the time of entering into the interest rate swaps and it was determined they are expected to be highly effective. People Inc. evaluates the hedge effectiveness of the interest rate swaps quarterly, or more frequently, if necessary, by verifying (i) that the critical terms of the interest rate swaps continue to match the critical terms of the hedged interest payments and (ii) that it is probable the counterparties will not default. If the two requirements are met, the interest rate swaps are determined to be effective and all changes in the fair value of the interest rate swaps are recorded in “Accumulated other comprehensive loss.” As cash flow hedges, the interest rate swaps are recognized at fair value on the balance sheet as either assets or liabilities, with the changes in fair value recorded in “Accumulated other comprehensive loss” in the balance sheet. Realized gains or losses are reclassified into “Interest expense” in the statement of operations. The cash flows related to interest settlements of the hedged monthly interest payments are classified as operating activities in the statement of cash flows, consistent with the interest expense on the related debt instrument. See “</w:t>
      </w:r>
      <w:hyperlink w:anchor="i473dc8f3a1b24875b0036ddd45bfe466_52">
        <w:r>
          <w:rPr>
            <w:rStyle w:val="InternetLink"/>
            <w:rFonts w:ascii="Times New Roman;serif" w:hAnsi="Times New Roman;serif"/>
            <w:b w:val="false"/>
            <w:color w:val="0000FF"/>
            <w:sz w:val="20"/>
            <w:u w:val="single"/>
          </w:rPr>
          <w:t>Note 5—Accumulated Other Comprehensive Loss</w:t>
        </w:r>
      </w:hyperlink>
      <w:r>
        <w:rPr>
          <w:color w:val="000000"/>
        </w:rPr>
        <w:t xml:space="preserve">” </w:t>
      </w:r>
      <w:r>
        <w:rPr>
          <w:rFonts w:ascii="Times New Roman;serif" w:hAnsi="Times New Roman;serif"/>
          <w:b w:val="false"/>
          <w:color w:val="000000"/>
          <w:sz w:val="20"/>
        </w:rPr>
        <w:t>for the net unrealized gains and losses before reclassifications in “Accumulated other comprehensive loss” and realized gains and losses reclassified into “Interest expense”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4—SHAREHOLDERS' EQUITY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Voting Agreement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22, 2026, the Company entered into a voting agreement (the “Diller Voting Agreement”) with Barry Diller, Diane von Furstenberg and Alexander von Furstenberg (the “Voting Agreement Parties”). Pursuant to the Voting Agreement, the Voting Agreement Parties agreed to, and to use commercially reasonable efforts to cause other affiliated persons and entities to, cause any shares of Company voting securities they beneficially own representing in excess of 48.5% of the Company's total voting power to be voted in the same proportion as the Company's other voting stockholders (other than the Voting Agreement Parties, certain of their affiliated persons and entities, certain directors and officers of People Incorporated, and immediate family members of the foregoing) on each matter brought before the Company's stockholders at an annual or special meeting or by written consent of Company stockholders. The proportional voting requirement does not apply to certain matters, including matters requiring a separate class vote, unless specified ownership thresholds are met.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Voting Agreement also provides that the Voting Agreement Parties and certain of their affiliated persons and entities will not initiate or participate in any action by written consent of the Company's stockholders unless directed by an independent committee of disinterested directors of the Company's board of directors.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Voting Agreement automatically terminates upon the earlier of: (a) the Voting Agreement Parties and their affiliates collectively ceasing to beneficially own at least 30% of the Company's total voting power; or (b) a change of control of the Company.</w:t>
      </w:r>
    </w:p>
    <w:p>
      <w:pPr>
        <w:pStyle w:val="TextBody"/>
        <w:bidi w:val="0"/>
        <w:spacing w:before="0" w:after="0"/>
        <w:ind w:left="0" w:right="0" w:firstLine="45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 Repurchases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16, 2026, in connection with the execution of the Voting Agreement, described above, the board of directors of the Company approved an authorization for the Company to repurchase an additional 10 million shares of the Company’s common stock. At June 30, 2026, the Company has 12.5 million shares remaining under its authorization. 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5—ACCUMULATED OTHER COMPREHENSIVE LOSS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accumulated other comprehensive loss, net of income taxes.</w:t>
      </w:r>
    </w:p>
    <w:tbl>
      <w:tblPr>
        <w:tblW w:w="10205" w:type="dxa"/>
        <w:jc w:val="left"/>
        <w:tblInd w:w="0" w:type="dxa"/>
        <w:tblLayout w:type="fixed"/>
        <w:tblCellMar>
          <w:top w:w="28" w:type="dxa"/>
          <w:left w:w="28" w:type="dxa"/>
          <w:bottom w:w="28" w:type="dxa"/>
          <w:right w:w="28" w:type="dxa"/>
        </w:tblCellMar>
      </w:tblPr>
      <w:tblGrid>
        <w:gridCol w:w="624"/>
        <w:gridCol w:w="547"/>
        <w:gridCol w:w="394"/>
        <w:gridCol w:w="226"/>
        <w:gridCol w:w="797"/>
        <w:gridCol w:w="117"/>
        <w:gridCol w:w="109"/>
        <w:gridCol w:w="109"/>
        <w:gridCol w:w="109"/>
        <w:gridCol w:w="262"/>
        <w:gridCol w:w="601"/>
        <w:gridCol w:w="136"/>
        <w:gridCol w:w="109"/>
        <w:gridCol w:w="109"/>
        <w:gridCol w:w="109"/>
        <w:gridCol w:w="262"/>
        <w:gridCol w:w="917"/>
        <w:gridCol w:w="137"/>
        <w:gridCol w:w="109"/>
        <w:gridCol w:w="109"/>
        <w:gridCol w:w="109"/>
        <w:gridCol w:w="226"/>
        <w:gridCol w:w="797"/>
        <w:gridCol w:w="117"/>
        <w:gridCol w:w="109"/>
        <w:gridCol w:w="109"/>
        <w:gridCol w:w="109"/>
        <w:gridCol w:w="228"/>
        <w:gridCol w:w="692"/>
        <w:gridCol w:w="118"/>
        <w:gridCol w:w="109"/>
        <w:gridCol w:w="109"/>
        <w:gridCol w:w="109"/>
        <w:gridCol w:w="260"/>
        <w:gridCol w:w="910"/>
        <w:gridCol w:w="202"/>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Gains On 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On 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8"/>
        <w:gridCol w:w="583"/>
        <w:gridCol w:w="318"/>
        <w:gridCol w:w="223"/>
        <w:gridCol w:w="783"/>
        <w:gridCol w:w="115"/>
        <w:gridCol w:w="109"/>
        <w:gridCol w:w="109"/>
        <w:gridCol w:w="109"/>
        <w:gridCol w:w="228"/>
        <w:gridCol w:w="690"/>
        <w:gridCol w:w="118"/>
        <w:gridCol w:w="109"/>
        <w:gridCol w:w="109"/>
        <w:gridCol w:w="109"/>
        <w:gridCol w:w="257"/>
        <w:gridCol w:w="901"/>
        <w:gridCol w:w="135"/>
        <w:gridCol w:w="109"/>
        <w:gridCol w:w="109"/>
        <w:gridCol w:w="109"/>
        <w:gridCol w:w="223"/>
        <w:gridCol w:w="783"/>
        <w:gridCol w:w="115"/>
        <w:gridCol w:w="109"/>
        <w:gridCol w:w="109"/>
        <w:gridCol w:w="109"/>
        <w:gridCol w:w="228"/>
        <w:gridCol w:w="690"/>
        <w:gridCol w:w="118"/>
        <w:gridCol w:w="109"/>
        <w:gridCol w:w="109"/>
        <w:gridCol w:w="109"/>
        <w:gridCol w:w="255"/>
        <w:gridCol w:w="893"/>
        <w:gridCol w:w="196"/>
      </w:tblGrid>
      <w:tr>
        <w:trPr/>
        <w:tc>
          <w:tcPr>
            <w:tcW w:w="71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 Gains On 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allocated to noncontrolling interests during the period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Angi</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reclassified out of foreign currency translation adjustment into earnings for the six months ended June 30, 2026 relates to the sale of Care.com on March 16, 2026 and is recorded in “Loss on the sale of Care.com, net of income taxes” in the statement of operations. </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$0.2 million is expected to be reclassified into interest expense as net realized gains related to interest rate swaps, which mature on April 1, 2027. </w:t>
      </w:r>
    </w:p>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2025, there was $0.1 million of deferred income tax provision and $0.4 million of deferred income tax benefit, respectively, related to unrealized gains and losses on interest rate swaps.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6—SEGMENT INFORMATION</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overall concept that the Company employs in determining its operating segments is to present the financial information in a manner consistent with the chief operating decision maker’s (“CODM”) view of the businesses. The Office of the Chairman, which is comprised of certain executives and members of the board of directors, is the CODM of the Company. In determining our operating segments, we consider how the businesses are organized as to segment management and the focus of the businesses with regards to the types of services or products offered or the target market. In the case of Emerging &amp; Other, operating segments are combined for reporting purposes because they do not meet the quantitative thresholds that require presentation as separate reportable segments.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by reportable segment:</w:t>
      </w:r>
    </w:p>
    <w:tbl>
      <w:tblPr>
        <w:tblW w:w="8010" w:type="dxa"/>
        <w:jc w:val="left"/>
        <w:tblInd w:w="0" w:type="dxa"/>
        <w:tblLayout w:type="fixed"/>
        <w:tblCellMar>
          <w:top w:w="28" w:type="dxa"/>
          <w:left w:w="28" w:type="dxa"/>
          <w:bottom w:w="28" w:type="dxa"/>
          <w:right w:w="28" w:type="dxa"/>
        </w:tblCellMar>
      </w:tblPr>
      <w:tblGrid>
        <w:gridCol w:w="898"/>
        <w:gridCol w:w="749"/>
        <w:gridCol w:w="75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People Inc.</w:t>
            </w:r>
            <w:r>
              <w:rPr>
                <w:rFonts w:ascii="Times New Roman;serif" w:hAnsi="Times New Roman;serif"/>
                <w:b w:val="false"/>
                <w:color w:val="000000"/>
                <w:sz w:val="13"/>
              </w:rPr>
              <w: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eliminations</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As a result of this change, financial information for both the People Inc. Print and Digital segments for prior periods has been recast to conform to the current period presentation. </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Intersegment eliminations relate to People Inc. Digital performance marketing commissions earned for the placement of magazine subscriptions.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 xml:space="preserve">Disaggregated Revenue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of the Company’s segments disaggregated by type of service:</w:t>
      </w:r>
    </w:p>
    <w:tbl>
      <w:tblPr>
        <w:tblW w:w="8294" w:type="dxa"/>
        <w:jc w:val="left"/>
        <w:tblInd w:w="0" w:type="dxa"/>
        <w:tblLayout w:type="fixed"/>
        <w:tblCellMar>
          <w:top w:w="28" w:type="dxa"/>
          <w:left w:w="28" w:type="dxa"/>
          <w:bottom w:w="28" w:type="dxa"/>
          <w:right w:w="28" w:type="dxa"/>
        </w:tblCellMar>
      </w:tblPr>
      <w:tblGrid>
        <w:gridCol w:w="971"/>
        <w:gridCol w:w="855"/>
        <w:gridCol w:w="8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People Inc.</w:t>
            </w:r>
            <w:r>
              <w:rPr>
                <w:rFonts w:ascii="Times New Roman;serif" w:hAnsi="Times New Roman;serif"/>
                <w:b/>
                <w:color w:val="000000"/>
                <w:sz w:val="13"/>
              </w:rPr>
              <w: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Digital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Newsstand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and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marketing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eliminations</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People Inc.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Session-based revenue is related to advertisements served or performance marketing referrals initiated during a session, which is defined as a unique visit to a site that is part of the People Inc.’s network. Session-based revenue includes Advertising and Performance marketing revenue earned from People Inc.’s owned and operated or affiliated sites. Non-session-based revenue is related to revenue not dependent upon a session and primarily includes Advertising and Performance marketing revenue earned outside a session on People Inc.’s owned and operated or affiliated sites, such as D/Cipher+, native campaigns, social platforms, email and affinity marketing and all Licensing and other revenue. The following table presents Digital revenue further disaggregated by session and non-session-based revenue:</w:t>
      </w:r>
    </w:p>
    <w:tbl>
      <w:tblPr>
        <w:tblW w:w="7470" w:type="dxa"/>
        <w:jc w:val="left"/>
        <w:tblInd w:w="0" w:type="dxa"/>
        <w:tblLayout w:type="fixed"/>
        <w:tblCellMar>
          <w:top w:w="28" w:type="dxa"/>
          <w:left w:w="28" w:type="dxa"/>
          <w:bottom w:w="28" w:type="dxa"/>
          <w:right w:w="28" w:type="dxa"/>
        </w:tblCellMar>
      </w:tblPr>
      <w:tblGrid>
        <w:gridCol w:w="673"/>
        <w:gridCol w:w="591"/>
        <w:gridCol w:w="5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Session-based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Non-session-based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Digital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Segment Expenses</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segment expenses regularly provided to the CODM for each of the Company’s reportable segments that are included in determining Segment Adjusted Earnings Before Interest, Taxes, Depreciation and Amortization (“Adjusted EBITDA”), which is the Company’s segment reporting performance measure:</w:t>
      </w:r>
    </w:p>
    <w:tbl>
      <w:tblPr>
        <w:tblW w:w="8625" w:type="dxa"/>
        <w:jc w:val="left"/>
        <w:tblInd w:w="0" w:type="dxa"/>
        <w:tblLayout w:type="fixed"/>
        <w:tblCellMar>
          <w:top w:w="28" w:type="dxa"/>
          <w:left w:w="28" w:type="dxa"/>
          <w:bottom w:w="28" w:type="dxa"/>
          <w:right w:w="28" w:type="dxa"/>
        </w:tblCellMar>
      </w:tblPr>
      <w:tblGrid>
        <w:gridCol w:w="1089"/>
        <w:gridCol w:w="962"/>
        <w:gridCol w:w="9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People Inc.</w:t>
            </w:r>
            <w:r>
              <w:rPr>
                <w:rFonts w:ascii="Times New Roman;serif" w:hAnsi="Times New Roman;serif"/>
                <w:b/>
                <w:color w:val="000000"/>
                <w:sz w:val="13"/>
              </w:rPr>
              <w: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Digital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Print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People Inc.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Segment Reporting Performance Measure and Reconciliations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EBITDA is the segment reporting performance measure used by the CODM as one of the metrics by which we evaluate the performance of our businesses and our internal budgets are based and may impact management compensation. Adjusted EBITDA is defined as operating income excluding: (1) stock-based compensation 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the Company’s core ongoing operating performance and certain items that affect comparability between periods, including, but not limited to, certain (i) restructuring costs, including certain severance and employee separation benefits; (ii) gains and losses from lease impairments, terminations and amendments and certain asset sales; (iii) transaction-related costs; and (iv) litigation-related gains and losses associated with specific matters.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 (ii) gains and losses recognized on changes in the fair value of contingent consideration arrangements. Beginning with the second quarter of 2026, the Company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for prior periods has been recast to conform to the current period presentation.</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Segment Adjusted EBITDA:</w:t>
      </w:r>
    </w:p>
    <w:tbl>
      <w:tblPr>
        <w:tblW w:w="8354" w:type="dxa"/>
        <w:jc w:val="left"/>
        <w:tblInd w:w="0" w:type="dxa"/>
        <w:tblLayout w:type="fixed"/>
        <w:tblCellMar>
          <w:top w:w="28" w:type="dxa"/>
          <w:left w:w="28" w:type="dxa"/>
          <w:bottom w:w="28" w:type="dxa"/>
          <w:right w:w="28" w:type="dxa"/>
        </w:tblCellMar>
      </w:tblPr>
      <w:tblGrid>
        <w:gridCol w:w="1071"/>
        <w:gridCol w:w="939"/>
        <w:gridCol w:w="94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People Inc.</w:t>
            </w:r>
            <w:r>
              <w:rPr>
                <w:rFonts w:ascii="Times New Roman;serif" w:hAnsi="Times New Roman;serif"/>
                <w:b w:val="false"/>
                <w:color w:val="000000"/>
                <w:sz w:val="13"/>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Adjusted EBITDA to earnings (loss) from continuing operations before income taxes:</w:t>
      </w:r>
    </w:p>
    <w:tbl>
      <w:tblPr>
        <w:tblW w:w="10205" w:type="dxa"/>
        <w:jc w:val="left"/>
        <w:tblInd w:w="0" w:type="dxa"/>
        <w:tblLayout w:type="fixed"/>
        <w:tblCellMar>
          <w:top w:w="28" w:type="dxa"/>
          <w:left w:w="28" w:type="dxa"/>
          <w:bottom w:w="28" w:type="dxa"/>
          <w:right w:w="28" w:type="dxa"/>
        </w:tblCellMar>
      </w:tblPr>
      <w:tblGrid>
        <w:gridCol w:w="1946"/>
        <w:gridCol w:w="1319"/>
        <w:gridCol w:w="132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94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Adjusted EBITDA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including certain severance and employee separation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and (losses) from lease impairments, terminations and amendments and certain asset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matters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MGM Resorts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The six months ended June 30, 2025 reflect the reversal of $49.8 million of previously recognized stock-based compensation expense related to the forfeiture of our former Chief Executive Officer’s (“CEO”) restricted stock award pursuant to an employment transition agreement (the “Employment Transition Agreement”) entered into on January 13, 2025, partially offset by $14.9 million of stock-based compensation expense related to the transfer of 5.0 million Class B shares of Angi held by the Company to our former CEO prior to the Distribution pursuant to the Employment Transition Agreement.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Segment Assets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Segment asset information is not regularly presented to the CODM.</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w:t>
      </w:r>
    </w:p>
    <w:tbl>
      <w:tblPr>
        <w:tblW w:w="3369" w:type="dxa"/>
        <w:jc w:val="left"/>
        <w:tblInd w:w="0" w:type="dxa"/>
        <w:tblLayout w:type="fixed"/>
        <w:tblCellMar>
          <w:top w:w="28" w:type="dxa"/>
          <w:left w:w="28" w:type="dxa"/>
          <w:bottom w:w="28" w:type="dxa"/>
          <w:right w:w="28" w:type="dxa"/>
        </w:tblCellMar>
      </w:tblPr>
      <w:tblGrid>
        <w:gridCol w:w="370"/>
        <w:gridCol w:w="324"/>
        <w:gridCol w:w="326"/>
        <w:gridCol w:w="211"/>
        <w:gridCol w:w="721"/>
        <w:gridCol w:w="109"/>
        <w:gridCol w:w="109"/>
        <w:gridCol w:w="109"/>
        <w:gridCol w:w="109"/>
        <w:gridCol w:w="211"/>
        <w:gridCol w:w="61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7—PENSION AND POST-RETIREMENT BENEFIT PLANS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net periodic benefit cost for the People Inc. pension and post-retirement benefit plans:</w:t>
      </w:r>
    </w:p>
    <w:tbl>
      <w:tblPr>
        <w:tblW w:w="10205" w:type="dxa"/>
        <w:jc w:val="left"/>
        <w:tblInd w:w="0" w:type="dxa"/>
        <w:tblLayout w:type="fixed"/>
        <w:tblCellMar>
          <w:top w:w="28" w:type="dxa"/>
          <w:left w:w="28" w:type="dxa"/>
          <w:bottom w:w="28" w:type="dxa"/>
          <w:right w:w="28" w:type="dxa"/>
        </w:tblCellMar>
      </w:tblPr>
      <w:tblGrid>
        <w:gridCol w:w="902"/>
        <w:gridCol w:w="771"/>
        <w:gridCol w:w="775"/>
        <w:gridCol w:w="211"/>
        <w:gridCol w:w="361"/>
        <w:gridCol w:w="109"/>
        <w:gridCol w:w="109"/>
        <w:gridCol w:w="109"/>
        <w:gridCol w:w="109"/>
        <w:gridCol w:w="240"/>
        <w:gridCol w:w="701"/>
        <w:gridCol w:w="125"/>
        <w:gridCol w:w="109"/>
        <w:gridCol w:w="109"/>
        <w:gridCol w:w="109"/>
        <w:gridCol w:w="400"/>
        <w:gridCol w:w="684"/>
        <w:gridCol w:w="207"/>
        <w:gridCol w:w="109"/>
        <w:gridCol w:w="109"/>
        <w:gridCol w:w="109"/>
        <w:gridCol w:w="211"/>
        <w:gridCol w:w="361"/>
        <w:gridCol w:w="109"/>
        <w:gridCol w:w="109"/>
        <w:gridCol w:w="109"/>
        <w:gridCol w:w="109"/>
        <w:gridCol w:w="240"/>
        <w:gridCol w:w="701"/>
        <w:gridCol w:w="125"/>
        <w:gridCol w:w="109"/>
        <w:gridCol w:w="109"/>
        <w:gridCol w:w="109"/>
        <w:gridCol w:w="388"/>
        <w:gridCol w:w="664"/>
        <w:gridCol w:w="285"/>
      </w:tblGrid>
      <w:tr>
        <w:trPr/>
        <w:tc>
          <w:tcPr>
            <w:tcW w:w="90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recognition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877"/>
        <w:gridCol w:w="732"/>
        <w:gridCol w:w="734"/>
        <w:gridCol w:w="211"/>
        <w:gridCol w:w="361"/>
        <w:gridCol w:w="109"/>
        <w:gridCol w:w="109"/>
        <w:gridCol w:w="109"/>
        <w:gridCol w:w="109"/>
        <w:gridCol w:w="216"/>
        <w:gridCol w:w="738"/>
        <w:gridCol w:w="112"/>
        <w:gridCol w:w="109"/>
        <w:gridCol w:w="109"/>
        <w:gridCol w:w="109"/>
        <w:gridCol w:w="400"/>
        <w:gridCol w:w="684"/>
        <w:gridCol w:w="207"/>
        <w:gridCol w:w="109"/>
        <w:gridCol w:w="109"/>
        <w:gridCol w:w="109"/>
        <w:gridCol w:w="211"/>
        <w:gridCol w:w="466"/>
        <w:gridCol w:w="109"/>
        <w:gridCol w:w="109"/>
        <w:gridCol w:w="109"/>
        <w:gridCol w:w="109"/>
        <w:gridCol w:w="216"/>
        <w:gridCol w:w="738"/>
        <w:gridCol w:w="112"/>
        <w:gridCol w:w="109"/>
        <w:gridCol w:w="109"/>
        <w:gridCol w:w="109"/>
        <w:gridCol w:w="339"/>
        <w:gridCol w:w="749"/>
        <w:gridCol w:w="249"/>
      </w:tblGrid>
      <w:tr>
        <w:trPr/>
        <w:tc>
          <w:tcPr>
            <w:tcW w:w="87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recognition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are included in “Other income, net” in the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8—INCOME TAXES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the end of each interim period, the Company estimates the annual effective income tax rate and applies that rate to its ordinary year-to-date earnings or loss. The income tax provision or benefit related to significant, unusual or extraordinary items, if applicable, that will be separately reported or reported net of their related tax effects are individually computed and recognized in the interim period in which they occur. In addition, the effect of changes in enacted tax laws or rates, tax status, judgment on the realizability of a beginning-of-the-year deferred income tax asset in future years or unrecognized tax benefits is recognized in the interim period in which the change occurs.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computation of the estimated annual effective income tax rate at each interim period requires certain estimates and assumptions including, but not limited to, the expected pre-tax income (or loss) for the year, projections of the proportion of income (and/or loss) earned and taxed in foreign jurisdictions, permanent and temporary differences and the likelihood of the realization of deferred income tax assets generated in the current year. The accounting estimates used to compute the provision or benefit for income taxes may change as new events occur, more experience is acquired, additional information is obtained or the Company’s income tax environment changes. To the extent that the estimated annual effective income tax rate changes during a quarter, the effect of the change on prior quarters is included in income tax provision or benefit in the quarter in which the change occurs.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recorded an income tax provision of $177.3 million and $167.2 million, respectively, which represents effective income tax rates of 26% and 25%, which were higher than the statutory rate of 21% due primarily to state taxes. For the three months ended June 30, 2025, the Company recorded an income tax provision of $74.4 million, which represents an effective income tax rate of 28%, which was higher than the statutory rate of 21% due primarily to state taxes, a deferred tax adjustment and non-deductible compensation expense, partially offset by the realization of a capital loss. For the six months ended June 30, 2025, the Company recorded an income tax benefit of $0.4 million, which represents an effective income tax rate of 1%, which was lower than the statutory rate of 21% due primarily to a deferred tax adjustment, non-taxable stock-based compensation expense, which included a reversal due to the forfeiture of our former CEO’s restricted stock award pursuant to the Employment Transition Agreement, and state taxes, partially offset by research credits.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result of the Distribution, the Company has allocated to Angi a portion of the tax attributes related to the consolidated federal and state tax filings pursuant to the Internal Revenue Code and applicable state law. This allocation requires that the Company’s net deferred income tax liability be adjusted in the year of the Distribution with a corresponding adjustment to additional paid-in capital. The allocation of attributes that was recorded as of December 31, 2025 was preliminary. A subsequent adjustment is expected to be made in the fourth quarter of 2026 following the filing of income tax returns for the year ended December 31, 2025. Further amendments could be required based upon amendments to the Company’s taxable income for periods prior to the Distribution and potential tax audits in the future.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routinely under audit by federal, state, local and foreign authorities in the area of income tax. These audits include questioning the timing and the amount of income and deductions and the allocation of income and deductions among various tax jurisdictions. The IRS is currently auditing the Company’s federal income tax return for the year ended December 31, 2023. Returns filed in various other jurisdictions are open to examination for tax years beginning with 2015. Income taxes payable include unrecognized tax benefits considered sufficient to pay assessments that may result from the examination of prior year tax returns. The Company considers many factors when evaluating and estimating its tax positions and tax benefits, which may not accurately anticipate actual outcomes and, therefore, may require periodic adjustment. Although management currently believes changes in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if applicable, penalties related to unrecognized tax benefits in the income tax provision. At June 30, 2026 and December 31, 2025, accruals for interest and penalties are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unrecognized tax benefits, including interest and penalties, were $13.4 million and $13.0 million, respectively. Unrecognized tax benefits, including interest and penalties, at June 30, 2026 increased by $0.4 million due primarily to research credits, partially offset by a settlement. If unrecognized tax benefits at June 30, 2026 are subsequently recognized, $12.5 million, net of related deferred income tax assets and interest, would reduce income tax expense. The comparable amount at December 31, 2025 was $12.1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9—EARNINGS (LOSS) PER SHARE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treats its common stock and Class B common stock as one class of stock for net earnings (loss) per share (“EPS”) purposes as both classes of stock participate in earnings, dividends and other distributions on the same basis.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EPS is computed by dividing net earnings (loss) attributable to holders of the Company’s common stock and Class B common stock by the weighted-average number of shares of common stock and Class B common stock outstanding during the period.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is computed by dividing net earnings (loss) attributable to holders of the Company’s common stock and Class B common stock by the weighted-average number of common stock and Class B common stock outstanding plus dilutive securities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numerator and denominator of basic and diluted EPS computations for the Company’s common stock and Class B common stock are calculated as follows:</w:t>
      </w:r>
    </w:p>
    <w:tbl>
      <w:tblPr>
        <w:tblW w:w="10205" w:type="dxa"/>
        <w:jc w:val="left"/>
        <w:tblInd w:w="0" w:type="dxa"/>
        <w:tblLayout w:type="fixed"/>
        <w:tblCellMar>
          <w:top w:w="28" w:type="dxa"/>
          <w:left w:w="28" w:type="dxa"/>
          <w:bottom w:w="28" w:type="dxa"/>
          <w:right w:w="28" w:type="dxa"/>
        </w:tblCellMar>
      </w:tblPr>
      <w:tblGrid>
        <w:gridCol w:w="1818"/>
        <w:gridCol w:w="1415"/>
        <w:gridCol w:w="143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52"/>
        <w:gridCol w:w="155"/>
      </w:tblGrid>
      <w:tr>
        <w:trPr/>
        <w:tc>
          <w:tcPr>
            <w:tcW w:w="181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 attributable to People Incorporated common stock and Class B common stock shareholders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discontinued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from discontinued operations attributable to People Incorporated common stock and Class B common stock shareholders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People Incorporated common stock and Class B common stock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People Incorporated common stock and Class B common stock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from continuing operations attributable to People Incorporated common stock and Class B common stock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from discontinued operations, net of income taxes, attributable to People Incorporated common stock and Class B common stock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attributable to People Incorporated common stock and Class B common stock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857"/>
        <w:gridCol w:w="1447"/>
        <w:gridCol w:w="13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52"/>
        <w:gridCol w:w="155"/>
      </w:tblGrid>
      <w:tr>
        <w:trPr/>
        <w:tc>
          <w:tcPr>
            <w:tcW w:w="185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 continuing operations attributable to People Incorporated common stock and Class B common stock shareholders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discontinued operations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from discontinued operations attributable to People Incorporated common stock and Class B common stock shareholders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People Incorporated common stock and Class B common stock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People Incorporated common stock and Class B common stock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Dilutive securities</w:t>
            </w:r>
            <w:r>
              <w:rPr>
                <w:rFonts w:ascii="Times New Roman;serif" w:hAnsi="Times New Roman;serif"/>
                <w:b w:val="false"/>
                <w:color w:val="000000"/>
                <w:sz w:val="13"/>
              </w:rPr>
              <w:t>(a)(b)(c)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Denominator for earnings per share—weighted average shares</w:t>
            </w:r>
            <w:r>
              <w:rPr>
                <w:rFonts w:ascii="Times New Roman;serif" w:hAnsi="Times New Roman;serif"/>
                <w:b w:val="false"/>
                <w:color w:val="000000"/>
                <w:sz w:val="13"/>
              </w:rPr>
              <w:t>(a)(b)(c)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from continuing operations attributable to People Incorporated common stock and Class B common stock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from discontinued operations, net of income taxes, attributable to People Incorporated common stock and Class B common stock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attributable to People Incorporated common stock and Class B common stock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120"/>
        <w:ind w:left="0" w:right="0" w:hanging="360"/>
        <w:jc w:val="left"/>
        <w:rPr/>
      </w:pPr>
      <w:r>
        <w:rPr>
          <w:rFonts w:ascii="Times New Roman;serif" w:hAnsi="Times New Roman;serif"/>
          <w:b w:val="false"/>
          <w:color w:val="000000"/>
          <w:sz w:val="10"/>
        </w:rPr>
        <w:t>(a)    </w:t>
      </w:r>
      <w:r>
        <w:rPr>
          <w:rFonts w:ascii="Times New Roman;serif" w:hAnsi="Times New Roman;serif"/>
          <w:b w:val="false"/>
          <w:color w:val="000000"/>
          <w:sz w:val="16"/>
        </w:rPr>
        <w:t xml:space="preserve">If the effect is dilutive, weighted average common shares outstanding include the incremental shares that would be issued upon the assumed exercise of stock options and subsidiary denominated equity; the vesting of restricted stock units (“RSUs”); and the vesting of performance-based stock units (“PSUs”), if applicable. For the three and six months ended June 30, 2026 and the three months ended June 30, 2025, 0.2 million, 0.3 million and 0.7 million, respectively, of potentially dilutive securities were excluded from the calculation of diluted EPS because their inclusion would have been anti-dilutive. </w:t>
      </w:r>
    </w:p>
    <w:p>
      <w:pPr>
        <w:pStyle w:val="TextBody"/>
        <w:bidi w:val="0"/>
        <w:spacing w:lineRule="auto" w:line="288" w:before="120" w:after="120"/>
        <w:ind w:left="0" w:right="0" w:hanging="360"/>
        <w:jc w:val="left"/>
        <w:rPr/>
      </w:pPr>
      <w:r>
        <w:rPr>
          <w:rFonts w:ascii="Times New Roman;serif" w:hAnsi="Times New Roman;serif"/>
          <w:b w:val="false"/>
          <w:color w:val="000000"/>
          <w:sz w:val="10"/>
        </w:rPr>
        <w:t>(b)    </w:t>
      </w:r>
      <w:r>
        <w:rPr>
          <w:rFonts w:ascii="Times New Roman;serif" w:hAnsi="Times New Roman;serif"/>
          <w:b w:val="false"/>
          <w:color w:val="000000"/>
          <w:sz w:val="16"/>
        </w:rPr>
        <w:t xml:space="preserve">PSUs are considered contingently issuable shares and are included in the denominator for EPS if (i) the applicable performance condition(s) has been met and (ii) the inclusion of the PSUs is dilutive for the respective reporting periods. For both the three and six months ended June 30, 2026, 0.2 million shares underlying PSUs were excluded from the calculation of diluted EPS because the performance conditions had not been met. </w:t>
      </w:r>
    </w:p>
    <w:p>
      <w:pPr>
        <w:pStyle w:val="TextBody"/>
        <w:bidi w:val="0"/>
        <w:spacing w:lineRule="auto" w:line="288" w:before="120" w:after="120"/>
        <w:ind w:left="0" w:right="0" w:hanging="360"/>
        <w:jc w:val="left"/>
        <w:rPr/>
      </w:pPr>
      <w:r>
        <w:rPr>
          <w:rFonts w:ascii="Times New Roman;serif" w:hAnsi="Times New Roman;serif"/>
          <w:b w:val="false"/>
          <w:color w:val="000000"/>
          <w:sz w:val="10"/>
        </w:rPr>
        <w:t>(c)    </w:t>
      </w:r>
      <w:r>
        <w:rPr>
          <w:rFonts w:ascii="Times New Roman;serif" w:hAnsi="Times New Roman;serif"/>
          <w:b w:val="false"/>
          <w:color w:val="000000"/>
          <w:sz w:val="16"/>
        </w:rPr>
        <w:t xml:space="preserve">For the six months ended June 30, 2025, the Company had losses from continuing operations and, as a result, approximately 4.5 million of potentially dilutive securities were excluded from computing diluted EPS for the period because the impact would have been anti-dilutive. Accordingly, the weighted average basic shares outstanding were used to compute the diluted EPS amounts.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10—FINANCIAL STATEMENT DETAILS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balance sheet to the total amounts shown in the statement of cash flows:</w:t>
      </w:r>
    </w:p>
    <w:tbl>
      <w:tblPr>
        <w:tblW w:w="10205" w:type="dxa"/>
        <w:jc w:val="left"/>
        <w:tblInd w:w="0" w:type="dxa"/>
        <w:tblLayout w:type="fixed"/>
        <w:tblCellMar>
          <w:top w:w="28" w:type="dxa"/>
          <w:left w:w="28" w:type="dxa"/>
          <w:bottom w:w="28" w:type="dxa"/>
          <w:right w:w="28" w:type="dxa"/>
        </w:tblCellMar>
      </w:tblPr>
      <w:tblGrid>
        <w:gridCol w:w="1464"/>
        <w:gridCol w:w="1223"/>
        <w:gridCol w:w="1230"/>
        <w:gridCol w:w="211"/>
        <w:gridCol w:w="976"/>
        <w:gridCol w:w="109"/>
        <w:gridCol w:w="109"/>
        <w:gridCol w:w="109"/>
        <w:gridCol w:w="109"/>
        <w:gridCol w:w="237"/>
        <w:gridCol w:w="930"/>
        <w:gridCol w:w="122"/>
        <w:gridCol w:w="109"/>
        <w:gridCol w:w="109"/>
        <w:gridCol w:w="109"/>
        <w:gridCol w:w="211"/>
        <w:gridCol w:w="976"/>
        <w:gridCol w:w="109"/>
        <w:gridCol w:w="109"/>
        <w:gridCol w:w="109"/>
        <w:gridCol w:w="109"/>
        <w:gridCol w:w="224"/>
        <w:gridCol w:w="1036"/>
        <w:gridCol w:w="166"/>
      </w:tblGrid>
      <w:tr>
        <w:trPr/>
        <w:tc>
          <w:tcPr>
            <w:tcW w:w="14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included in current assets of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 of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as shown on the statement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986,831 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1,807,255 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Restricted cash in all periods presented principally consists of cash held in escrow related to the funded pension plan in the United Kingdom at People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1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cash and cash equivalents by geographic location:</w:t>
      </w:r>
    </w:p>
    <w:tbl>
      <w:tblPr>
        <w:tblW w:w="10205" w:type="dxa"/>
        <w:jc w:val="left"/>
        <w:tblInd w:w="0" w:type="dxa"/>
        <w:tblLayout w:type="fixed"/>
        <w:tblCellMar>
          <w:top w:w="28" w:type="dxa"/>
          <w:left w:w="28" w:type="dxa"/>
          <w:bottom w:w="28" w:type="dxa"/>
          <w:right w:w="28" w:type="dxa"/>
        </w:tblCellMar>
      </w:tblPr>
      <w:tblGrid>
        <w:gridCol w:w="1371"/>
        <w:gridCol w:w="1206"/>
        <w:gridCol w:w="1213"/>
        <w:gridCol w:w="211"/>
        <w:gridCol w:w="976"/>
        <w:gridCol w:w="109"/>
        <w:gridCol w:w="109"/>
        <w:gridCol w:w="109"/>
        <w:gridCol w:w="109"/>
        <w:gridCol w:w="252"/>
        <w:gridCol w:w="987"/>
        <w:gridCol w:w="129"/>
        <w:gridCol w:w="109"/>
        <w:gridCol w:w="109"/>
        <w:gridCol w:w="109"/>
        <w:gridCol w:w="211"/>
        <w:gridCol w:w="976"/>
        <w:gridCol w:w="109"/>
        <w:gridCol w:w="109"/>
        <w:gridCol w:w="109"/>
        <w:gridCol w:w="109"/>
        <w:gridCol w:w="231"/>
        <w:gridCol w:w="1070"/>
        <w:gridCol w:w="173"/>
      </w:tblGrid>
      <w:tr>
        <w:trPr/>
        <w:tc>
          <w:tcPr>
            <w:tcW w:w="137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and cash equivalents at People Inc.:</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at People Inc.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284,318 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249,927 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and cash equivalents at entities excluding People Inc.</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at entities excluding People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656,993 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941,311 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1,363,547 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Credit Losses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w:t>
      </w:r>
    </w:p>
    <w:tbl>
      <w:tblPr>
        <w:tblW w:w="5723" w:type="dxa"/>
        <w:jc w:val="left"/>
        <w:tblInd w:w="0" w:type="dxa"/>
        <w:tblLayout w:type="fixed"/>
        <w:tblCellMar>
          <w:top w:w="28" w:type="dxa"/>
          <w:left w:w="28" w:type="dxa"/>
          <w:bottom w:w="28" w:type="dxa"/>
          <w:right w:w="28" w:type="dxa"/>
        </w:tblCellMar>
      </w:tblPr>
      <w:tblGrid>
        <w:gridCol w:w="1261"/>
        <w:gridCol w:w="1104"/>
        <w:gridCol w:w="1114"/>
        <w:gridCol w:w="211"/>
        <w:gridCol w:w="616"/>
        <w:gridCol w:w="109"/>
        <w:gridCol w:w="109"/>
        <w:gridCol w:w="109"/>
        <w:gridCol w:w="109"/>
        <w:gridCol w:w="211"/>
        <w:gridCol w:w="61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period provision for credit losses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charged against the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Accumulated Depreciation and Amortization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accumulated depreciation and amortization within the balance sheet:</w:t>
      </w:r>
    </w:p>
    <w:tbl>
      <w:tblPr>
        <w:tblW w:w="8986" w:type="dxa"/>
        <w:jc w:val="left"/>
        <w:tblInd w:w="0" w:type="dxa"/>
        <w:tblLayout w:type="fixed"/>
        <w:tblCellMar>
          <w:top w:w="28" w:type="dxa"/>
          <w:left w:w="28" w:type="dxa"/>
          <w:bottom w:w="28" w:type="dxa"/>
          <w:right w:w="28" w:type="dxa"/>
        </w:tblCellMar>
      </w:tblPr>
      <w:tblGrid>
        <w:gridCol w:w="2161"/>
        <w:gridCol w:w="1895"/>
        <w:gridCol w:w="1913"/>
        <w:gridCol w:w="211"/>
        <w:gridCol w:w="826"/>
        <w:gridCol w:w="109"/>
        <w:gridCol w:w="109"/>
        <w:gridCol w:w="109"/>
        <w:gridCol w:w="109"/>
        <w:gridCol w:w="273"/>
        <w:gridCol w:w="1072"/>
        <w:gridCol w:w="199"/>
      </w:tblGrid>
      <w:tr>
        <w:trPr/>
        <w:tc>
          <w:tcPr>
            <w:tcW w:w="2161"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Asset Category</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equipment, leasehold improvements and capitalized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2013"/>
        <w:gridCol w:w="1496"/>
        <w:gridCol w:w="150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01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an unutilized domain 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downward adjustments to the carrying value of equity securities without readily determinable fair values and net gains on sales of investments and businesses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11—CONTINGENCIES</w:t>
      </w:r>
    </w:p>
    <w:p>
      <w:pPr>
        <w:pStyle w:val="TextBody"/>
        <w:bidi w:val="0"/>
        <w:spacing w:lineRule="auto" w:line="288" w:before="0" w:after="240"/>
        <w:ind w:left="0" w:right="0" w:firstLine="450"/>
        <w:jc w:val="left"/>
        <w:rPr/>
      </w:pPr>
      <w:r>
        <w:rPr>
          <w:rFonts w:ascii="Times New Roman;serif" w:hAnsi="Times New Roman;serif"/>
          <w:b w:val="false"/>
          <w:color w:val="000000"/>
          <w:sz w:val="20"/>
        </w:rPr>
        <w:t>In the ordinary course of business, the Company is subject to various lawsuits and other contingent matters. The Company establishes accruals for specific legal and other matters when it determines that the likelihood of an unfavorable outcome is probable and the loss is reasonably estimable. Management has also identified certain legal and other matters where it believes an unfavorable outcome is not probable and, therefore, no accrual is established. Although management currently believes that resolving claims against the Company, including claims where an unfavorable outcome is reasonably possible, and for which the Company cannot estimate a loss or range of loss, will not have a material impact on the liquidity, results of operations or financial condition of the Company, these matters are subject to inherent uncertainties and management’s view of these matters may change in the future. The Company also evaluates other contingent matters, including unrecognized tax benefits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and/or financial condition of the Company. See “</w:t>
      </w:r>
      <w:hyperlink w:anchor="i473dc8f3a1b24875b0036ddd45bfe466_70">
        <w:r>
          <w:rPr>
            <w:rStyle w:val="InternetLink"/>
            <w:rFonts w:ascii="Times New Roman;serif" w:hAnsi="Times New Roman;serif"/>
            <w:b w:val="false"/>
            <w:color w:val="0000FF"/>
            <w:sz w:val="20"/>
            <w:u w:val="single"/>
          </w:rPr>
          <w:t>Note 8—Income Taxes</w:t>
        </w:r>
      </w:hyperlink>
      <w:r>
        <w:rPr>
          <w:color w:val="000000"/>
        </w:rPr>
        <w:t xml:space="preserve">” </w:t>
      </w:r>
      <w:r>
        <w:rPr>
          <w:rFonts w:ascii="Times New Roman;serif" w:hAnsi="Times New Roman;serif"/>
          <w:b w:val="false"/>
          <w:color w:val="000000"/>
          <w:sz w:val="20"/>
        </w:rPr>
        <w:t>for information related to unrecognized tax benefits.</w:t>
      </w:r>
    </w:p>
    <w:p>
      <w:pPr>
        <w:pStyle w:val="TextBody"/>
        <w:bidi w:val="0"/>
        <w:spacing w:lineRule="auto" w:line="26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People Inc. Ad-Tech Antitrust Litigation against Google</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Company’s People Inc. subsidiary filed an action against Google LLC and Alphabet Inc. (collectively, “Google”), alleging violations of federal antitrust and state law arising out of anticompetitive practices by Google in the ad-tech industry in connection with the sale of ad inventory for display on People Inc.’s online properties. The lawsuit follows on the Government’s antitrust enforcement action against Google, in which a federal district judge has ruled that Google acquired, maintained, and misused monopoly power in the publisher ad-server and ad-exchange markets, and tied use of its publisher ad-server to use of its ad exchange, in violation of the Sherman Act. People Inc.’s complaint asserts federal antitrust claims for monopolization and attempted monopolization of the publisher ad-server and ad-exchange markets and for unlawful tying in violation of the Sherman Act, as well as various state-law claims, and seeks among other things injunctive relief and damages, including treble damages, in an amount to be determined at trial. </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Inc.’s lawsuit is part of a consolidated multidistrict litigation comprised of similar lawsuits filed by other online publishers, all pending before the same judge in the Southern District of New York. On October 27, 2025, in a ruling in one of the earlier-filed publisher lawsuits, the presiding judge held that Google is precluded from relitigating certain issues decided against it in the Government’s case, including that Google engaged in five separate types of anticompetitive conduct in willfully acquiring and maintaining monopoly power in the publisher ad-server and ad-exchange markets and that Google unlawfully tied its publisher ad server to its ad exchange in violation of the Sherman Act.</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Inc.’s case is currently in discovery. People Inc. intends to vigorously pursue its claims in this action, but there is no guarantee that its efforts will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Disputed Gain on Real Estate Transaction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October 24, 2025, the Company received an adverse jury verdict in a lawsuit related to the allocation of a gain recorded in 2015 related to a real estate transaction. The original gain was $34.3 million and was initially recorded as a non-operating gain in “Other income, net” in the year ended December 31, 2015. The proceeds have been and continue to be held in escrow since the transaction occurred in 2015. The total amount held in escrow at June 30, 2026 and December 31, 2025 was $39.0 million and $38.3 million, respectively. The Company recorded a net non-operating loss of $19.2 million in “Other income, net” in the statement of operations in the latter half of 2025 following this verdict and the subsequent court ruling that plaintiffs were not entitled to statutory prejudgment interest. The amounts held in escrow, net of the portion allocable to the plaintiffs, at June 30, 2026 and December 31, 2025 of $19.4 million and $19.0 million, respectively, are included in “Other current assets” in the balance sheet. The Company’s motion before the trial court to set aside the jury’s verdict remains 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12—RELATED PARTY TRANSACTIONS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People Incorporated and Expedia Group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and Expedia Group each have a 50% ownership interest in two aircraft that may be used by both companies. Members of the aircraft flight crews are employed by an entity in which the Company and Expedia Group each have a 50% ownership interest. Historically, the Company and Expedia Group allocated fixed costs, including flight crew compensation and benefits, 50% to each company and shared variable costs pro-rata according to each company’s respective usage of the aircraft, for which they were separately billed by the entity described above. In December of 2025, the Company and Expedia Group amended their cost sharing arrangement to reflect the allocation of all costs on a pro-rata basis according to each company’s respective usage of the aircraft, with the exception of costs related to flights taken by Mr. Diller, of which each of the Company and Expedia Group continue to be responsible for 50%. The Company and Expedia Group are related parties because Mr. Diller serves as Chairman and Senior Executive of both the Company and Expedia Group. For both the three and six months ended June 30, 2026 and 2025, the payments made to this entity by the Company were not material.</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Expedia Group has had the use of an aircraft owned 100% by a subsidiary of the Company on a cost basis until the sale of such aircraft during the fourth quarter of 2025. For the three and six months ended June 30, 2025, the payments made by Expedia Group to the Company pursuant to this arrangement were not material.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and Expedia Group entered into an arrangement to share security costs for Mr. Diller, with each company responsible for 50% of such costs. For the three and six months ended June 30, 2026, amounts pursuant to this arrangement were not material.</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Expedia Group occupies office space in the Company’s New York City headquarters building. The total payments pursuant to this lease agreement, which expires September 2029, are not material.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Voting Agreements</w:t>
      </w:r>
    </w:p>
    <w:p>
      <w:pPr>
        <w:pStyle w:val="TextBody"/>
        <w:bidi w:val="0"/>
        <w:spacing w:lineRule="auto" w:line="288" w:before="0" w:after="240"/>
        <w:ind w:left="0" w:right="0" w:firstLine="450"/>
        <w:jc w:val="left"/>
        <w:rPr/>
      </w:pPr>
      <w:r>
        <w:rPr>
          <w:rFonts w:ascii="Times New Roman;serif" w:hAnsi="Times New Roman;serif"/>
          <w:b w:val="false"/>
          <w:color w:val="000000"/>
          <w:sz w:val="20"/>
        </w:rPr>
        <w:t>On April 3, 2026, the Company entered into the MGM Voting Agreement. See “</w:t>
      </w:r>
      <w:hyperlink w:anchor="i473dc8f3a1b24875b0036ddd45bfe466_40">
        <w:r>
          <w:rPr>
            <w:rStyle w:val="InternetLink"/>
            <w:rFonts w:ascii="Times New Roman;serif" w:hAnsi="Times New Roman;serif"/>
            <w:b w:val="false"/>
            <w:color w:val="0000FF"/>
            <w:sz w:val="20"/>
            <w:u w:val="single"/>
          </w:rPr>
          <w:t>Note 2—Financial Instruments and Fair Value Measurements</w:t>
        </w:r>
      </w:hyperlink>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0" w:after="240"/>
        <w:ind w:left="0" w:right="0" w:firstLine="450"/>
        <w:jc w:val="left"/>
        <w:rPr/>
      </w:pPr>
      <w:r>
        <w:rPr>
          <w:rFonts w:ascii="Times New Roman;serif" w:hAnsi="Times New Roman;serif"/>
          <w:b w:val="false"/>
          <w:color w:val="000000"/>
          <w:sz w:val="20"/>
        </w:rPr>
        <w:t>On June 22, 2026, the Company entered into the Diller Voting Agreement. See “</w:t>
      </w:r>
      <w:hyperlink w:anchor="i473dc8f3a1b24875b0036ddd45bfe466_1220">
        <w:r>
          <w:rPr>
            <w:rStyle w:val="InternetLink"/>
            <w:rFonts w:ascii="Times New Roman;serif" w:hAnsi="Times New Roman;serif"/>
            <w:b w:val="false"/>
            <w:color w:val="0000FF"/>
            <w:sz w:val="20"/>
            <w:u w:val="single"/>
          </w:rPr>
          <w:t>Note 4—Shareholders' Equity</w:t>
        </w:r>
      </w:hyperlink>
      <w:r>
        <w:rPr>
          <w:color w:val="000000"/>
        </w:rPr>
        <w:t xml:space="preserve">”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13—DISCONTINUED OPERATIONS</w:t>
      </w:r>
    </w:p>
    <w:p>
      <w:pPr>
        <w:pStyle w:val="TextBody"/>
        <w:bidi w:val="0"/>
        <w:spacing w:before="0" w:after="0"/>
        <w:jc w:val="left"/>
        <w:rPr/>
      </w:pPr>
      <w:r>
        <w:rPr/>
      </w:r>
    </w:p>
    <w:p>
      <w:pPr>
        <w:pStyle w:val="TextBody"/>
        <w:bidi w:val="0"/>
        <w:spacing w:lineRule="auto" w:line="276" w:before="0" w:after="240"/>
        <w:ind w:left="0" w:right="0" w:firstLine="450"/>
        <w:jc w:val="left"/>
        <w:rPr/>
      </w:pPr>
      <w:r>
        <w:rPr>
          <w:rFonts w:ascii="Times New Roman;serif" w:hAnsi="Times New Roman;serif"/>
          <w:b w:val="false"/>
          <w:color w:val="000000"/>
          <w:sz w:val="20"/>
        </w:rPr>
        <w:t>The Company ceased operations of its Search segment after the expiration of the Services Agreement during the second quarter of 2026 and completed the sale of Care.com on March 16, 2026 and the Distribution of Angi on March 31, 2025. As a result of these events, Search, Care.com and Angi are presented as discontinued operations within the Company’s consolidated financial statements for all periods prior to these transactions. See “</w:t>
      </w:r>
      <w:hyperlink w:anchor="i473dc8f3a1b24875b0036ddd45bfe466_37">
        <w:r>
          <w:rPr>
            <w:rStyle w:val="InternetLink"/>
            <w:rFonts w:ascii="Times New Roman;serif" w:hAnsi="Times New Roman;serif"/>
            <w:b w:val="false"/>
            <w:color w:val="0000FF"/>
            <w:sz w:val="20"/>
            <w:u w:val="single"/>
          </w:rPr>
          <w:t>Note 1—The Company and Summary of Significant Accounting Policies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assets and liabilities reflected as discontinued operations in the balance sheet consists of the following:</w:t>
      </w:r>
    </w:p>
    <w:tbl>
      <w:tblPr>
        <w:tblW w:w="10205" w:type="dxa"/>
        <w:jc w:val="left"/>
        <w:tblInd w:w="0" w:type="dxa"/>
        <w:tblLayout w:type="fixed"/>
        <w:tblCellMar>
          <w:top w:w="28" w:type="dxa"/>
          <w:left w:w="28" w:type="dxa"/>
          <w:bottom w:w="28" w:type="dxa"/>
          <w:right w:w="28" w:type="dxa"/>
        </w:tblCellMar>
      </w:tblPr>
      <w:tblGrid>
        <w:gridCol w:w="1758"/>
        <w:gridCol w:w="1496"/>
        <w:gridCol w:w="1497"/>
        <w:gridCol w:w="245"/>
        <w:gridCol w:w="719"/>
        <w:gridCol w:w="127"/>
        <w:gridCol w:w="109"/>
        <w:gridCol w:w="109"/>
        <w:gridCol w:w="109"/>
        <w:gridCol w:w="211"/>
        <w:gridCol w:w="826"/>
        <w:gridCol w:w="109"/>
        <w:gridCol w:w="109"/>
        <w:gridCol w:w="109"/>
        <w:gridCol w:w="109"/>
        <w:gridCol w:w="211"/>
        <w:gridCol w:w="721"/>
        <w:gridCol w:w="109"/>
        <w:gridCol w:w="109"/>
        <w:gridCol w:w="109"/>
        <w:gridCol w:w="109"/>
        <w:gridCol w:w="211"/>
        <w:gridCol w:w="826"/>
        <w:gridCol w:w="158"/>
      </w:tblGrid>
      <w:tr>
        <w:trPr/>
        <w:tc>
          <w:tcPr>
            <w:tcW w:w="175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leasehold improvements and equipment, net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 of discontinued operations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 of discontinued operations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earnings from discontinued operations in the statement of operations consists of the following:</w:t>
      </w:r>
    </w:p>
    <w:tbl>
      <w:tblPr>
        <w:tblW w:w="8745" w:type="dxa"/>
        <w:jc w:val="left"/>
        <w:tblInd w:w="0" w:type="dxa"/>
        <w:tblLayout w:type="fixed"/>
        <w:tblCellMar>
          <w:top w:w="28" w:type="dxa"/>
          <w:left w:w="28" w:type="dxa"/>
          <w:bottom w:w="28" w:type="dxa"/>
          <w:right w:w="28" w:type="dxa"/>
        </w:tblCellMar>
      </w:tblPr>
      <w:tblGrid>
        <w:gridCol w:w="2020"/>
        <w:gridCol w:w="1778"/>
        <w:gridCol w:w="1797"/>
        <w:gridCol w:w="109"/>
        <w:gridCol w:w="109"/>
        <w:gridCol w:w="557"/>
        <w:gridCol w:w="1825"/>
        <w:gridCol w:w="287"/>
        <w:gridCol w:w="109"/>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73"/>
        <w:gridCol w:w="1614"/>
        <w:gridCol w:w="163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187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from discontinued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Angi represents $1.5 million related to non-income taxes with a corresponding adjustment to additional paid-in-capital, following the repeal of Canada’s digital service tax in the first quarter of 2026.</w:t>
      </w:r>
    </w:p>
    <w:p>
      <w:pPr>
        <w:pStyle w:val="TextBody"/>
        <w:bidi w:val="0"/>
        <w:spacing w:before="0" w:after="24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958" w:type="dxa"/>
        <w:jc w:val="left"/>
        <w:tblInd w:w="0" w:type="dxa"/>
        <w:tblLayout w:type="fixed"/>
        <w:tblCellMar>
          <w:top w:w="28" w:type="dxa"/>
          <w:left w:w="28" w:type="dxa"/>
          <w:bottom w:w="28" w:type="dxa"/>
          <w:right w:w="28" w:type="dxa"/>
        </w:tblCellMar>
      </w:tblPr>
      <w:tblGrid>
        <w:gridCol w:w="2020"/>
        <w:gridCol w:w="1778"/>
        <w:gridCol w:w="1797"/>
        <w:gridCol w:w="211"/>
        <w:gridCol w:w="721"/>
        <w:gridCol w:w="109"/>
        <w:gridCol w:w="109"/>
        <w:gridCol w:w="109"/>
        <w:gridCol w:w="109"/>
        <w:gridCol w:w="211"/>
        <w:gridCol w:w="721"/>
        <w:gridCol w:w="109"/>
        <w:gridCol w:w="109"/>
        <w:gridCol w:w="109"/>
        <w:gridCol w:w="109"/>
        <w:gridCol w:w="109"/>
        <w:gridCol w:w="109"/>
        <w:gridCol w:w="109"/>
        <w:gridCol w:w="109"/>
        <w:gridCol w:w="211"/>
        <w:gridCol w:w="82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518" w:type="dxa"/>
            <w:gridSpan w:val="6"/>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18" w:type="dxa"/>
            <w:gridSpan w:val="6"/>
            <w:tcBorders/>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from discontinued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1"/>
        <w:gridCol w:w="839"/>
        <w:gridCol w:w="84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405"/>
        <w:gridCol w:w="780"/>
        <w:gridCol w:w="211"/>
        <w:gridCol w:w="109"/>
        <w:gridCol w:w="109"/>
        <w:gridCol w:w="109"/>
        <w:gridCol w:w="211"/>
        <w:gridCol w:w="826"/>
        <w:gridCol w:w="158"/>
      </w:tblGrid>
      <w:tr>
        <w:trPr/>
        <w:tc>
          <w:tcPr>
            <w:tcW w:w="118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Care.com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Intersegment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from discontinued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discontinued operations, net of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Includes the reversal of $10.2 million in stock-based compensation expense that was previously recognized by Angi with respect to restricted shares.</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14—PEOPLE INC. FINANCIAL INFORMATION</w:t>
      </w:r>
    </w:p>
    <w:p>
      <w:pPr>
        <w:pStyle w:val="TextBody"/>
        <w:bidi w:val="0"/>
        <w:spacing w:before="0" w:after="0"/>
        <w:jc w:val="left"/>
        <w:rPr/>
      </w:pPr>
      <w:r>
        <w:rPr/>
      </w:r>
    </w:p>
    <w:p>
      <w:pPr>
        <w:pStyle w:val="TextBody"/>
        <w:bidi w:val="0"/>
        <w:spacing w:lineRule="auto" w:line="288" w:before="0" w:after="240"/>
        <w:ind w:left="0" w:right="0" w:firstLine="450"/>
        <w:jc w:val="left"/>
        <w:rPr/>
      </w:pPr>
      <w:r>
        <w:rPr>
          <w:rFonts w:ascii="Times New Roman;serif" w:hAnsi="Times New Roman;serif"/>
          <w:b w:val="false"/>
          <w:color w:val="000000"/>
          <w:sz w:val="20"/>
        </w:rPr>
        <w:t>As mentioned above, People Inc., the borrower under the Term Loans and 2032 Notes, is required to provide certain financial information. This requirement can be met by providing the Company’s consolidated financial statements presented as of and for the applicable periods then ended with a reconciliation to the consolidated balance sheet, statement of operations and comprehensive operations and statement of cash flows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People Inc.</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n a standalone basis and the consolidated statement of shareholder’s equity of</w:t>
      </w:r>
      <w:r>
        <w:rPr>
          <w:color w:val="000000"/>
          <w:shd w:fill="FFFFFF" w:val="clear"/>
        </w:rPr>
        <w:t xml:space="preserve"> </w:t>
      </w:r>
      <w:r>
        <w:rPr>
          <w:rFonts w:ascii="Times New Roman;serif" w:hAnsi="Times New Roman;serif"/>
          <w:b w:val="false"/>
          <w:color w:val="000000"/>
          <w:sz w:val="20"/>
        </w:rPr>
        <w:t>People Inc.</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n a standalone basis. Presented below are the reconciliations of the Company’s (i) consolidated balance sheet as of June 30, 2026 and December 31, 2025, (ii) the related consolidated statement of operations and comprehensive operations and consolidated statement of cash flows for the three and six months ended June 30, 2026 and 2025 to the applicable financial information of People Inc. on a standalone basis by (1) excluding entities other than People Inc. and (2) including the applicable eliminations and reclassifications. Also presented are the consolidated statements of shareholder’s equity for People Inc.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60" w:after="60"/>
        <w:jc w:val="center"/>
        <w:rPr/>
      </w:pPr>
      <w:r>
        <w:rPr/>
      </w:r>
    </w:p>
    <w:p>
      <w:pPr>
        <w:pStyle w:val="TextBody"/>
        <w:bidi w:val="0"/>
        <w:spacing w:lineRule="auto" w:line="288" w:before="60" w:after="60"/>
        <w:jc w:val="left"/>
        <w:rPr>
          <w:rFonts w:ascii="Times New Roman;serif" w:hAnsi="Times New Roman;serif"/>
          <w:b/>
          <w:color w:val="000000"/>
          <w:sz w:val="18"/>
        </w:rPr>
      </w:pPr>
      <w:r>
        <w:rPr>
          <w:rFonts w:ascii="Times New Roman;serif" w:hAnsi="Times New Roman;serif"/>
          <w:b/>
          <w:color w:val="000000"/>
          <w:sz w:val="18"/>
        </w:rPr>
        <w:t>CONSOLIDATED BALANCE SHEET AT JUNE 30, 2026 AND DECEMBER 31, 2025 (Unaudited)</w:t>
      </w:r>
    </w:p>
    <w:p>
      <w:pPr>
        <w:pStyle w:val="TextBody"/>
        <w:bidi w:val="0"/>
        <w:spacing w:before="0" w:after="0"/>
        <w:jc w:val="center"/>
        <w:rPr/>
      </w:pPr>
      <w:r>
        <w:rPr/>
      </w:r>
    </w:p>
    <w:tbl>
      <w:tblPr>
        <w:tblW w:w="14518" w:type="dxa"/>
        <w:jc w:val="left"/>
        <w:tblInd w:w="0" w:type="dxa"/>
        <w:tblLayout w:type="fixed"/>
        <w:tblCellMar>
          <w:top w:w="28" w:type="dxa"/>
          <w:left w:w="28" w:type="dxa"/>
          <w:bottom w:w="28" w:type="dxa"/>
          <w:right w:w="28" w:type="dxa"/>
        </w:tblCellMar>
      </w:tblPr>
      <w:tblGrid>
        <w:gridCol w:w="1105"/>
        <w:gridCol w:w="339"/>
        <w:gridCol w:w="342"/>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 xml:space="preserve">Excluding People Inc.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 xml:space="preserve">Excluding People Inc.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of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land, equipment, leasehold improvements and capitalized software,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MGM Resorts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Incorporated's investment in People Inc.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of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4518" w:type="dxa"/>
        <w:jc w:val="left"/>
        <w:tblInd w:w="0" w:type="dxa"/>
        <w:tblLayout w:type="fixed"/>
        <w:tblCellMar>
          <w:top w:w="28" w:type="dxa"/>
          <w:left w:w="28" w:type="dxa"/>
          <w:bottom w:w="28" w:type="dxa"/>
          <w:right w:w="28" w:type="dxa"/>
        </w:tblCellMar>
      </w:tblPr>
      <w:tblGrid>
        <w:gridCol w:w="1211"/>
        <w:gridCol w:w="287"/>
        <w:gridCol w:w="288"/>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 xml:space="preserve">Excluding People Inc.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 xml:space="preserve">Excluding People Inc.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of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of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due from People Inc. to People Incorporated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(6,307,196)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 OF OPERATIONS AND COMPREHENSIVE OPERATIONS FOR THE THREE MONTHS ENDED JUNE 30, 2026 AND 2025 (Unaudited)</w:t>
      </w:r>
    </w:p>
    <w:p>
      <w:pPr>
        <w:pStyle w:val="TextBody"/>
        <w:bidi w:val="0"/>
        <w:spacing w:before="0" w:after="0"/>
        <w:jc w:val="center"/>
        <w:rPr/>
      </w:pPr>
      <w:r>
        <w:rPr/>
      </w:r>
    </w:p>
    <w:tbl>
      <w:tblPr>
        <w:tblW w:w="12963" w:type="dxa"/>
        <w:jc w:val="center"/>
        <w:tblInd w:w="0" w:type="dxa"/>
        <w:tblLayout w:type="fixed"/>
        <w:tblCellMar>
          <w:top w:w="28" w:type="dxa"/>
          <w:left w:w="28" w:type="dxa"/>
          <w:bottom w:w="28" w:type="dxa"/>
          <w:right w:w="28" w:type="dxa"/>
        </w:tblCellMar>
      </w:tblPr>
      <w:tblGrid>
        <w:gridCol w:w="756"/>
        <w:gridCol w:w="296"/>
        <w:gridCol w:w="299"/>
        <w:gridCol w:w="211"/>
        <w:gridCol w:w="826"/>
        <w:gridCol w:w="109"/>
        <w:gridCol w:w="109"/>
        <w:gridCol w:w="109"/>
        <w:gridCol w:w="109"/>
        <w:gridCol w:w="211"/>
        <w:gridCol w:w="736"/>
        <w:gridCol w:w="109"/>
        <w:gridCol w:w="109"/>
        <w:gridCol w:w="109"/>
        <w:gridCol w:w="109"/>
        <w:gridCol w:w="375"/>
        <w:gridCol w:w="721"/>
        <w:gridCol w:w="195"/>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375"/>
        <w:gridCol w:w="721"/>
        <w:gridCol w:w="195"/>
        <w:gridCol w:w="109"/>
        <w:gridCol w:w="109"/>
        <w:gridCol w:w="109"/>
        <w:gridCol w:w="211"/>
        <w:gridCol w:w="82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People Inc. </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shareholders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2963" w:type="dxa"/>
        <w:jc w:val="center"/>
        <w:tblInd w:w="0" w:type="dxa"/>
        <w:tblLayout w:type="fixed"/>
        <w:tblCellMar>
          <w:top w:w="28" w:type="dxa"/>
          <w:left w:w="28" w:type="dxa"/>
          <w:bottom w:w="28" w:type="dxa"/>
          <w:right w:w="28" w:type="dxa"/>
        </w:tblCellMar>
      </w:tblPr>
      <w:tblGrid>
        <w:gridCol w:w="579"/>
        <w:gridCol w:w="430"/>
        <w:gridCol w:w="432"/>
        <w:gridCol w:w="211"/>
        <w:gridCol w:w="826"/>
        <w:gridCol w:w="109"/>
        <w:gridCol w:w="109"/>
        <w:gridCol w:w="109"/>
        <w:gridCol w:w="109"/>
        <w:gridCol w:w="211"/>
        <w:gridCol w:w="841"/>
        <w:gridCol w:w="109"/>
        <w:gridCol w:w="109"/>
        <w:gridCol w:w="109"/>
        <w:gridCol w:w="109"/>
        <w:gridCol w:w="375"/>
        <w:gridCol w:w="721"/>
        <w:gridCol w:w="195"/>
        <w:gridCol w:w="109"/>
        <w:gridCol w:w="109"/>
        <w:gridCol w:w="109"/>
        <w:gridCol w:w="211"/>
        <w:gridCol w:w="616"/>
        <w:gridCol w:w="109"/>
        <w:gridCol w:w="109"/>
        <w:gridCol w:w="109"/>
        <w:gridCol w:w="109"/>
        <w:gridCol w:w="211"/>
        <w:gridCol w:w="826"/>
        <w:gridCol w:w="109"/>
        <w:gridCol w:w="109"/>
        <w:gridCol w:w="109"/>
        <w:gridCol w:w="109"/>
        <w:gridCol w:w="211"/>
        <w:gridCol w:w="841"/>
        <w:gridCol w:w="109"/>
        <w:gridCol w:w="109"/>
        <w:gridCol w:w="109"/>
        <w:gridCol w:w="109"/>
        <w:gridCol w:w="375"/>
        <w:gridCol w:w="721"/>
        <w:gridCol w:w="195"/>
        <w:gridCol w:w="109"/>
        <w:gridCol w:w="109"/>
        <w:gridCol w:w="109"/>
        <w:gridCol w:w="211"/>
        <w:gridCol w:w="736"/>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People Inc. </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income (loss)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 by 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120"/>
        <w:ind w:left="0" w:right="0" w:hanging="360"/>
        <w:jc w:val="left"/>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 three months ended June 30, 2026 and 2025 for People Inc. include $0.6 million and $(0.8) million of change in net unrealized gains (losses) on interest rate swaps, respectively, and $(0.3) million and less than $(0.1) million of change in foreign currency translation adjustment,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CONSOLIDATED STATEMENT OF OPERATIONS AND COMPREHENSIVE OPERATIONS FOR THE SIX MONTHS ENDED JUNE 30, 2026 AND 2025 (Unaudited)</w:t>
      </w:r>
    </w:p>
    <w:tbl>
      <w:tblPr>
        <w:tblW w:w="12963" w:type="dxa"/>
        <w:jc w:val="center"/>
        <w:tblInd w:w="0" w:type="dxa"/>
        <w:tblLayout w:type="fixed"/>
        <w:tblCellMar>
          <w:top w:w="28" w:type="dxa"/>
          <w:left w:w="28" w:type="dxa"/>
          <w:bottom w:w="28" w:type="dxa"/>
          <w:right w:w="28" w:type="dxa"/>
        </w:tblCellMar>
      </w:tblPr>
      <w:tblGrid>
        <w:gridCol w:w="756"/>
        <w:gridCol w:w="296"/>
        <w:gridCol w:w="299"/>
        <w:gridCol w:w="211"/>
        <w:gridCol w:w="826"/>
        <w:gridCol w:w="109"/>
        <w:gridCol w:w="109"/>
        <w:gridCol w:w="109"/>
        <w:gridCol w:w="109"/>
        <w:gridCol w:w="211"/>
        <w:gridCol w:w="736"/>
        <w:gridCol w:w="109"/>
        <w:gridCol w:w="109"/>
        <w:gridCol w:w="109"/>
        <w:gridCol w:w="109"/>
        <w:gridCol w:w="400"/>
        <w:gridCol w:w="684"/>
        <w:gridCol w:w="207"/>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472"/>
        <w:gridCol w:w="573"/>
        <w:gridCol w:w="246"/>
        <w:gridCol w:w="109"/>
        <w:gridCol w:w="109"/>
        <w:gridCol w:w="109"/>
        <w:gridCol w:w="211"/>
        <w:gridCol w:w="82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People Incorporated shareholders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2853" w:type="dxa"/>
        <w:jc w:val="center"/>
        <w:tblInd w:w="0" w:type="dxa"/>
        <w:tblLayout w:type="fixed"/>
        <w:tblCellMar>
          <w:top w:w="28" w:type="dxa"/>
          <w:left w:w="28" w:type="dxa"/>
          <w:bottom w:w="28" w:type="dxa"/>
          <w:right w:w="28" w:type="dxa"/>
        </w:tblCellMar>
      </w:tblPr>
      <w:tblGrid>
        <w:gridCol w:w="579"/>
        <w:gridCol w:w="430"/>
        <w:gridCol w:w="432"/>
        <w:gridCol w:w="211"/>
        <w:gridCol w:w="826"/>
        <w:gridCol w:w="109"/>
        <w:gridCol w:w="109"/>
        <w:gridCol w:w="109"/>
        <w:gridCol w:w="109"/>
        <w:gridCol w:w="211"/>
        <w:gridCol w:w="841"/>
        <w:gridCol w:w="109"/>
        <w:gridCol w:w="109"/>
        <w:gridCol w:w="109"/>
        <w:gridCol w:w="109"/>
        <w:gridCol w:w="375"/>
        <w:gridCol w:w="721"/>
        <w:gridCol w:w="195"/>
        <w:gridCol w:w="109"/>
        <w:gridCol w:w="109"/>
        <w:gridCol w:w="109"/>
        <w:gridCol w:w="211"/>
        <w:gridCol w:w="721"/>
        <w:gridCol w:w="109"/>
        <w:gridCol w:w="109"/>
        <w:gridCol w:w="109"/>
        <w:gridCol w:w="109"/>
        <w:gridCol w:w="236"/>
        <w:gridCol w:w="707"/>
        <w:gridCol w:w="123"/>
        <w:gridCol w:w="109"/>
        <w:gridCol w:w="109"/>
        <w:gridCol w:w="109"/>
        <w:gridCol w:w="211"/>
        <w:gridCol w:w="721"/>
        <w:gridCol w:w="109"/>
        <w:gridCol w:w="109"/>
        <w:gridCol w:w="109"/>
        <w:gridCol w:w="109"/>
        <w:gridCol w:w="375"/>
        <w:gridCol w:w="721"/>
        <w:gridCol w:w="195"/>
        <w:gridCol w:w="109"/>
        <w:gridCol w:w="109"/>
        <w:gridCol w:w="109"/>
        <w:gridCol w:w="211"/>
        <w:gridCol w:w="721"/>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(loss) income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 by 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120"/>
        <w:ind w:left="0" w:right="0" w:hanging="360"/>
        <w:jc w:val="left"/>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The six months ended June 30, 2026 and 2025 for People Inc. include $1.7 million and $(2.6) million of change in net unrealized gains (losses) on interest rate swaps, respectively, and $(1.0) million and $(0.1) million of change in foreign currency translation adjustment,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STATEMENTS OF CASH FLOWS FOR THE SIX MONTHS ENDED JUNE 30, 2026 AND 2025 (Unaudited)</w:t>
      </w:r>
    </w:p>
    <w:p>
      <w:pPr>
        <w:pStyle w:val="TextBody"/>
        <w:bidi w:val="0"/>
        <w:spacing w:before="0" w:after="0"/>
        <w:jc w:val="center"/>
        <w:rPr/>
      </w:pPr>
      <w:r>
        <w:rPr/>
      </w:r>
    </w:p>
    <w:tbl>
      <w:tblPr>
        <w:tblW w:w="12282" w:type="dxa"/>
        <w:jc w:val="center"/>
        <w:tblInd w:w="0" w:type="dxa"/>
        <w:tblLayout w:type="fixed"/>
        <w:tblCellMar>
          <w:top w:w="28" w:type="dxa"/>
          <w:left w:w="28" w:type="dxa"/>
          <w:bottom w:w="28" w:type="dxa"/>
          <w:right w:w="28" w:type="dxa"/>
        </w:tblCellMar>
      </w:tblPr>
      <w:tblGrid>
        <w:gridCol w:w="744"/>
        <w:gridCol w:w="258"/>
        <w:gridCol w:w="259"/>
        <w:gridCol w:w="211"/>
        <w:gridCol w:w="826"/>
        <w:gridCol w:w="109"/>
        <w:gridCol w:w="109"/>
        <w:gridCol w:w="109"/>
        <w:gridCol w:w="109"/>
        <w:gridCol w:w="211"/>
        <w:gridCol w:w="841"/>
        <w:gridCol w:w="109"/>
        <w:gridCol w:w="109"/>
        <w:gridCol w:w="109"/>
        <w:gridCol w:w="109"/>
        <w:gridCol w:w="375"/>
        <w:gridCol w:w="721"/>
        <w:gridCol w:w="195"/>
        <w:gridCol w:w="109"/>
        <w:gridCol w:w="109"/>
        <w:gridCol w:w="109"/>
        <w:gridCol w:w="211"/>
        <w:gridCol w:w="631"/>
        <w:gridCol w:w="109"/>
        <w:gridCol w:w="109"/>
        <w:gridCol w:w="109"/>
        <w:gridCol w:w="109"/>
        <w:gridCol w:w="236"/>
        <w:gridCol w:w="707"/>
        <w:gridCol w:w="123"/>
        <w:gridCol w:w="109"/>
        <w:gridCol w:w="109"/>
        <w:gridCol w:w="109"/>
        <w:gridCol w:w="211"/>
        <w:gridCol w:w="616"/>
        <w:gridCol w:w="109"/>
        <w:gridCol w:w="109"/>
        <w:gridCol w:w="109"/>
        <w:gridCol w:w="109"/>
        <w:gridCol w:w="375"/>
        <w:gridCol w:w="721"/>
        <w:gridCol w:w="195"/>
        <w:gridCol w:w="109"/>
        <w:gridCol w:w="109"/>
        <w:gridCol w:w="109"/>
        <w:gridCol w:w="230"/>
        <w:gridCol w:w="50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People Inc.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282"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 attributable to continuing operations:</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(loss) attributable to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2"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(loss) attributable to continuing operations to net cash provided by (used in) operating activities attributable to continuing operations: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MGM Resorts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an unutilized domain name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(including right-of-use asset 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downward adjustments to the carrying value of equity securities without readily determinable fair values and net gains on sales of investments and businesses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amendments and early terminations of lease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3006" w:type="dxa"/>
        <w:jc w:val="center"/>
        <w:tblInd w:w="0" w:type="dxa"/>
        <w:tblLayout w:type="fixed"/>
        <w:tblCellMar>
          <w:top w:w="28" w:type="dxa"/>
          <w:left w:w="28" w:type="dxa"/>
          <w:bottom w:w="28" w:type="dxa"/>
          <w:right w:w="28" w:type="dxa"/>
        </w:tblCellMar>
      </w:tblPr>
      <w:tblGrid>
        <w:gridCol w:w="558"/>
        <w:gridCol w:w="306"/>
        <w:gridCol w:w="307"/>
        <w:gridCol w:w="486"/>
        <w:gridCol w:w="355"/>
        <w:gridCol w:w="356"/>
        <w:gridCol w:w="109"/>
        <w:gridCol w:w="109"/>
        <w:gridCol w:w="109"/>
        <w:gridCol w:w="554"/>
        <w:gridCol w:w="287"/>
        <w:gridCol w:w="276"/>
        <w:gridCol w:w="109"/>
        <w:gridCol w:w="109"/>
        <w:gridCol w:w="109"/>
        <w:gridCol w:w="430"/>
        <w:gridCol w:w="430"/>
        <w:gridCol w:w="431"/>
        <w:gridCol w:w="109"/>
        <w:gridCol w:w="109"/>
        <w:gridCol w:w="109"/>
        <w:gridCol w:w="367"/>
        <w:gridCol w:w="369"/>
        <w:gridCol w:w="196"/>
        <w:gridCol w:w="109"/>
        <w:gridCol w:w="109"/>
        <w:gridCol w:w="109"/>
        <w:gridCol w:w="636"/>
        <w:gridCol w:w="355"/>
        <w:gridCol w:w="356"/>
        <w:gridCol w:w="109"/>
        <w:gridCol w:w="109"/>
        <w:gridCol w:w="109"/>
        <w:gridCol w:w="554"/>
        <w:gridCol w:w="287"/>
        <w:gridCol w:w="276"/>
        <w:gridCol w:w="109"/>
        <w:gridCol w:w="109"/>
        <w:gridCol w:w="109"/>
        <w:gridCol w:w="430"/>
        <w:gridCol w:w="430"/>
        <w:gridCol w:w="431"/>
        <w:gridCol w:w="109"/>
        <w:gridCol w:w="109"/>
        <w:gridCol w:w="109"/>
        <w:gridCol w:w="494"/>
        <w:gridCol w:w="497"/>
        <w:gridCol w:w="263"/>
      </w:tblGrid>
      <w:tr>
        <w:trPr/>
        <w:tc>
          <w:tcPr>
            <w:tcW w:w="5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People Inc. </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(26,508)</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(29,049)</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and receivable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 attributable to continuing operations</w:t>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55,632</w:t>
            </w:r>
            <w:r>
              <w:rPr>
                <w:color w:val="000000"/>
              </w:rPr>
              <w:t>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38,186</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3,827</w:t>
            </w:r>
            <w:r>
              <w:rPr>
                <w:color w:val="000000"/>
              </w:rPr>
              <w:t>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97,645</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(34,449)</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42,636</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1,731</w:t>
            </w:r>
            <w:r>
              <w:rPr>
                <w:color w:val="000000"/>
              </w:rPr>
              <w:t>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9,918</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06"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 attributable to continuing operations:</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sale of Care.com</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MGM Resorts International common shares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 of Angi Inc.'s cash in the Distribution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(386,563)</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an unutilized domain name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sales of investments and businesses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a portion of the retirement investment fund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 attributable to continuing operations</w:t>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249,498</w:t>
            </w:r>
            <w:r>
              <w:rPr>
                <w:color w:val="000000"/>
              </w:rPr>
              <w:t>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(268,255)</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(18,757)</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(373,572)</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374,325</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06"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 attributable to continuing operations:</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the Term Loans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(1,425,773)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(1,425,773)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Term Loans refinancing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991,451 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991,451 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the 2032 Notes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2826" w:type="dxa"/>
        <w:jc w:val="center"/>
        <w:tblInd w:w="0" w:type="dxa"/>
        <w:tblLayout w:type="fixed"/>
        <w:tblCellMar>
          <w:top w:w="28" w:type="dxa"/>
          <w:left w:w="28" w:type="dxa"/>
          <w:bottom w:w="28" w:type="dxa"/>
          <w:right w:w="28" w:type="dxa"/>
        </w:tblCellMar>
      </w:tblPr>
      <w:tblGrid>
        <w:gridCol w:w="821"/>
        <w:gridCol w:w="287"/>
        <w:gridCol w:w="288"/>
        <w:gridCol w:w="486"/>
        <w:gridCol w:w="355"/>
        <w:gridCol w:w="356"/>
        <w:gridCol w:w="109"/>
        <w:gridCol w:w="109"/>
        <w:gridCol w:w="109"/>
        <w:gridCol w:w="554"/>
        <w:gridCol w:w="287"/>
        <w:gridCol w:w="276"/>
        <w:gridCol w:w="109"/>
        <w:gridCol w:w="109"/>
        <w:gridCol w:w="109"/>
        <w:gridCol w:w="430"/>
        <w:gridCol w:w="430"/>
        <w:gridCol w:w="431"/>
        <w:gridCol w:w="109"/>
        <w:gridCol w:w="109"/>
        <w:gridCol w:w="109"/>
        <w:gridCol w:w="381"/>
        <w:gridCol w:w="355"/>
        <w:gridCol w:w="196"/>
        <w:gridCol w:w="109"/>
        <w:gridCol w:w="109"/>
        <w:gridCol w:w="109"/>
        <w:gridCol w:w="486"/>
        <w:gridCol w:w="355"/>
        <w:gridCol w:w="356"/>
        <w:gridCol w:w="109"/>
        <w:gridCol w:w="109"/>
        <w:gridCol w:w="109"/>
        <w:gridCol w:w="554"/>
        <w:gridCol w:w="287"/>
        <w:gridCol w:w="276"/>
        <w:gridCol w:w="109"/>
        <w:gridCol w:w="109"/>
        <w:gridCol w:w="109"/>
        <w:gridCol w:w="430"/>
        <w:gridCol w:w="430"/>
        <w:gridCol w:w="431"/>
        <w:gridCol w:w="109"/>
        <w:gridCol w:w="109"/>
        <w:gridCol w:w="109"/>
        <w:gridCol w:w="366"/>
        <w:gridCol w:w="370"/>
        <w:gridCol w:w="263"/>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People Inc.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and deferred financing costs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the Company to People Inc.</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behalf of employees on net settled stock-based awards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(54,645)</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(133,252)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133,252 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 from People Inc. to People Incorporated for the settlement of equity awards held by employees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Angi Inc. pursuant to the tax sharing agreement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Intercompany between People Incorporated and People Inc. </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(61,407)</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 attributable to continuing operations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(158,786)</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130,790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(3,827)</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(298,634)</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302,510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(1,731)</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2,145</w:t>
            </w: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provided by (used in) continuing operations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146,344 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(99,279)</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(706,655)</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719,471 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 attributable to discontinued operations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attributable to discontinued operations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discontinued operations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(used in) provided by discontinued operations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(10,673)</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3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3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2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3263" w:type="dxa"/>
        <w:jc w:val="center"/>
        <w:tblInd w:w="0" w:type="dxa"/>
        <w:tblLayout w:type="fixed"/>
        <w:tblCellMar>
          <w:top w:w="28" w:type="dxa"/>
          <w:left w:w="28" w:type="dxa"/>
          <w:bottom w:w="28" w:type="dxa"/>
          <w:right w:w="28" w:type="dxa"/>
        </w:tblCellMar>
      </w:tblPr>
      <w:tblGrid>
        <w:gridCol w:w="391"/>
        <w:gridCol w:w="344"/>
        <w:gridCol w:w="346"/>
        <w:gridCol w:w="211"/>
        <w:gridCol w:w="991"/>
        <w:gridCol w:w="109"/>
        <w:gridCol w:w="109"/>
        <w:gridCol w:w="109"/>
        <w:gridCol w:w="109"/>
        <w:gridCol w:w="211"/>
        <w:gridCol w:w="841"/>
        <w:gridCol w:w="109"/>
        <w:gridCol w:w="109"/>
        <w:gridCol w:w="109"/>
        <w:gridCol w:w="109"/>
        <w:gridCol w:w="375"/>
        <w:gridCol w:w="721"/>
        <w:gridCol w:w="195"/>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375"/>
        <w:gridCol w:w="721"/>
        <w:gridCol w:w="195"/>
        <w:gridCol w:w="109"/>
        <w:gridCol w:w="109"/>
        <w:gridCol w:w="109"/>
        <w:gridCol w:w="211"/>
        <w:gridCol w:w="841"/>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People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People Incorporated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Less: Entities </w:t>
              <w:br/>
              <w:t>Excluding People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People Inc.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 and restricted cash</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1,120,726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(782,740)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337,986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1,103,459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(832,836)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270,623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60" w:after="6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PEOPLE INC. CONSOLIDATED STATEMENTS OF SHAREHOLDER’S EQUITY FOR THE THREE AND SIX MONTHS ENDED JUNE 30, 2026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0"/>
        <w:gridCol w:w="479"/>
        <w:gridCol w:w="481"/>
        <w:gridCol w:w="236"/>
        <w:gridCol w:w="286"/>
        <w:gridCol w:w="121"/>
        <w:gridCol w:w="445"/>
        <w:gridCol w:w="381"/>
        <w:gridCol w:w="121"/>
        <w:gridCol w:w="109"/>
        <w:gridCol w:w="109"/>
        <w:gridCol w:w="109"/>
        <w:gridCol w:w="221"/>
        <w:gridCol w:w="1024"/>
        <w:gridCol w:w="114"/>
        <w:gridCol w:w="109"/>
        <w:gridCol w:w="109"/>
        <w:gridCol w:w="109"/>
        <w:gridCol w:w="216"/>
        <w:gridCol w:w="869"/>
        <w:gridCol w:w="111"/>
        <w:gridCol w:w="109"/>
        <w:gridCol w:w="109"/>
        <w:gridCol w:w="109"/>
        <w:gridCol w:w="285"/>
        <w:gridCol w:w="1000"/>
        <w:gridCol w:w="150"/>
        <w:gridCol w:w="109"/>
        <w:gridCol w:w="109"/>
        <w:gridCol w:w="109"/>
        <w:gridCol w:w="225"/>
        <w:gridCol w:w="881"/>
        <w:gridCol w:w="171"/>
      </w:tblGrid>
      <w:tr>
        <w:trPr/>
        <w:tc>
          <w:tcPr>
            <w:tcW w:w="108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(500,000 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count)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behalf of employees on net settled stock-based awards</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 from People Inc. to People Incorporated for settlement of equity awards held by employees</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1,568,352 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(592,800)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961,792 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6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4"/>
        <w:gridCol w:w="610"/>
        <w:gridCol w:w="613"/>
        <w:gridCol w:w="235"/>
        <w:gridCol w:w="285"/>
        <w:gridCol w:w="121"/>
        <w:gridCol w:w="413"/>
        <w:gridCol w:w="413"/>
        <w:gridCol w:w="142"/>
        <w:gridCol w:w="109"/>
        <w:gridCol w:w="109"/>
        <w:gridCol w:w="109"/>
        <w:gridCol w:w="221"/>
        <w:gridCol w:w="1023"/>
        <w:gridCol w:w="114"/>
        <w:gridCol w:w="109"/>
        <w:gridCol w:w="109"/>
        <w:gridCol w:w="109"/>
        <w:gridCol w:w="216"/>
        <w:gridCol w:w="868"/>
        <w:gridCol w:w="111"/>
        <w:gridCol w:w="109"/>
        <w:gridCol w:w="109"/>
        <w:gridCol w:w="109"/>
        <w:gridCol w:w="285"/>
        <w:gridCol w:w="997"/>
        <w:gridCol w:w="149"/>
        <w:gridCol w:w="109"/>
        <w:gridCol w:w="109"/>
        <w:gridCol w:w="109"/>
        <w:gridCol w:w="224"/>
        <w:gridCol w:w="880"/>
        <w:gridCol w:w="173"/>
      </w:tblGrid>
      <w:tr>
        <w:trPr/>
        <w:tc>
          <w:tcPr>
            <w:tcW w:w="8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(500,000 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 </w:t>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count)</w:t>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0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behalf of employees on net settled stock-based awards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 from People Inc. to People Incorporated for settlement of equity awards held by employees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1,568,352 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(592,800)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961,792 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60" w:after="60"/>
        <w:jc w:val="center"/>
        <w:rPr/>
      </w:pPr>
      <w:r>
        <w:rPr/>
      </w:r>
    </w:p>
    <w:p>
      <w:pPr>
        <w:pStyle w:val="TextBody"/>
        <w:bidi w:val="0"/>
        <w:spacing w:lineRule="auto" w:line="288" w:before="60" w:after="60"/>
        <w:jc w:val="left"/>
        <w:rPr>
          <w:rFonts w:ascii="Times New Roman;serif" w:hAnsi="Times New Roman;serif"/>
          <w:b/>
          <w:color w:val="000000"/>
          <w:sz w:val="18"/>
        </w:rPr>
      </w:pPr>
      <w:r>
        <w:rPr>
          <w:rFonts w:ascii="Times New Roman;serif" w:hAnsi="Times New Roman;serif"/>
          <w:b/>
          <w:color w:val="000000"/>
          <w:sz w:val="18"/>
        </w:rPr>
        <w:t>PEOPLE INC. CONSOLIDATED STATEMENTS OF SHAREHOLDER’S EQUITY FOR THE THREE AND SIX MONTHS ENDED JUNE 30, 2025 (Unaudited)</w:t>
      </w:r>
    </w:p>
    <w:p>
      <w:pPr>
        <w:pStyle w:val="TextBody"/>
        <w:bidi w:val="0"/>
        <w:spacing w:before="60" w:after="60"/>
        <w:jc w:val="center"/>
        <w:rPr/>
      </w:pPr>
      <w:r>
        <w:rPr/>
      </w:r>
    </w:p>
    <w:tbl>
      <w:tblPr>
        <w:tblW w:w="10205" w:type="dxa"/>
        <w:jc w:val="center"/>
        <w:tblInd w:w="0" w:type="dxa"/>
        <w:tblLayout w:type="fixed"/>
        <w:tblCellMar>
          <w:top w:w="28" w:type="dxa"/>
          <w:left w:w="28" w:type="dxa"/>
          <w:bottom w:w="28" w:type="dxa"/>
          <w:right w:w="28" w:type="dxa"/>
        </w:tblCellMar>
      </w:tblPr>
      <w:tblGrid>
        <w:gridCol w:w="1091"/>
        <w:gridCol w:w="491"/>
        <w:gridCol w:w="493"/>
        <w:gridCol w:w="237"/>
        <w:gridCol w:w="288"/>
        <w:gridCol w:w="122"/>
        <w:gridCol w:w="445"/>
        <w:gridCol w:w="381"/>
        <w:gridCol w:w="122"/>
        <w:gridCol w:w="109"/>
        <w:gridCol w:w="109"/>
        <w:gridCol w:w="109"/>
        <w:gridCol w:w="221"/>
        <w:gridCol w:w="1026"/>
        <w:gridCol w:w="114"/>
        <w:gridCol w:w="109"/>
        <w:gridCol w:w="109"/>
        <w:gridCol w:w="109"/>
        <w:gridCol w:w="216"/>
        <w:gridCol w:w="870"/>
        <w:gridCol w:w="111"/>
        <w:gridCol w:w="109"/>
        <w:gridCol w:w="109"/>
        <w:gridCol w:w="109"/>
        <w:gridCol w:w="275"/>
        <w:gridCol w:w="964"/>
        <w:gridCol w:w="144"/>
        <w:gridCol w:w="109"/>
        <w:gridCol w:w="109"/>
        <w:gridCol w:w="109"/>
        <w:gridCol w:w="225"/>
        <w:gridCol w:w="884"/>
        <w:gridCol w:w="177"/>
      </w:tblGrid>
      <w:tr>
        <w:trPr/>
        <w:tc>
          <w:tcPr>
            <w:tcW w:w="10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(500,000 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count)</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People Incorporated to People Inc.</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behalf of employees on net settled stock-based awards</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 from People Inc. to People Incorporated for settlement of equity awards held by employees</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1,622,065 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(651,199)</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957,463 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60"/>
        <w:jc w:val="center"/>
        <w:rPr/>
      </w:pPr>
      <w:r>
        <w:rPr/>
      </w:r>
    </w:p>
    <w:p>
      <w:pPr>
        <w:pStyle w:val="TextBody"/>
        <w:bidi w:val="0"/>
        <w:spacing w:before="60" w:after="60"/>
        <w:jc w:val="center"/>
        <w:rPr/>
      </w:pPr>
      <w:r>
        <w:rPr/>
      </w:r>
    </w:p>
    <w:tbl>
      <w:tblPr>
        <w:tblW w:w="10205" w:type="dxa"/>
        <w:jc w:val="center"/>
        <w:tblInd w:w="0" w:type="dxa"/>
        <w:tblLayout w:type="fixed"/>
        <w:tblCellMar>
          <w:top w:w="28" w:type="dxa"/>
          <w:left w:w="28" w:type="dxa"/>
          <w:bottom w:w="28" w:type="dxa"/>
          <w:right w:w="28" w:type="dxa"/>
        </w:tblCellMar>
      </w:tblPr>
      <w:tblGrid>
        <w:gridCol w:w="817"/>
        <w:gridCol w:w="622"/>
        <w:gridCol w:w="625"/>
        <w:gridCol w:w="236"/>
        <w:gridCol w:w="287"/>
        <w:gridCol w:w="122"/>
        <w:gridCol w:w="413"/>
        <w:gridCol w:w="413"/>
        <w:gridCol w:w="143"/>
        <w:gridCol w:w="109"/>
        <w:gridCol w:w="109"/>
        <w:gridCol w:w="109"/>
        <w:gridCol w:w="221"/>
        <w:gridCol w:w="1025"/>
        <w:gridCol w:w="114"/>
        <w:gridCol w:w="109"/>
        <w:gridCol w:w="109"/>
        <w:gridCol w:w="109"/>
        <w:gridCol w:w="216"/>
        <w:gridCol w:w="870"/>
        <w:gridCol w:w="111"/>
        <w:gridCol w:w="109"/>
        <w:gridCol w:w="109"/>
        <w:gridCol w:w="109"/>
        <w:gridCol w:w="275"/>
        <w:gridCol w:w="962"/>
        <w:gridCol w:w="144"/>
        <w:gridCol w:w="109"/>
        <w:gridCol w:w="109"/>
        <w:gridCol w:w="109"/>
        <w:gridCol w:w="225"/>
        <w:gridCol w:w="883"/>
        <w:gridCol w:w="173"/>
      </w:tblGrid>
      <w:tr>
        <w:trPr/>
        <w:tc>
          <w:tcPr>
            <w:tcW w:w="81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Common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(500,000 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 </w:t>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count)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People Incorporated to People Inc.</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behalf of employees on net settled stock-based awards</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 from People Inc. to People Incorporated for settlement of equity awards held by employees</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1,622,065 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(651,199)</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957,463 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PEOPLE INCORPORATED AND SUBSIDIARIES</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40" w:before="6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15—SUBSEQUENT EVENT</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3, 2026, the Company entered into agreements to sell its limited partner stake in a third-party fund to a group of private investors for approximately $189 million in aggregate. We expect the transaction to close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 Overview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4, 2026, IAC Inc. changed its name to People Incorporated (NASDAQ: PPLI), which is the owner of publisher, People Inc. Group. People Incorporated also holds a significant minority stake in MGM Resorts International (“MGM”).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30, 2026, Dotdash Meredith Inc. amended and restated its certificate of incorporation to change its name to People Inc. Group. As used herein, “People Inc.” refers to People Inc. Group.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herein, “People Incorporated,” the “Company,” “we,” “our,” “us” and other similar terms refer to People Incorporated and its subsidiaries (unless the context requires otherwise).</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a more detailed description of the Company’s operating businesses, see “Description of IAC Businesses” included in “Item 1—Business” to the Company’s Annual Report on Form 10-K for the year ended December 31, 2025 (the “Annual Report”).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Proposed Acquisition of MGM</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announced that it submitted a non-binding proposal to the board of directors of MGM to acquire all outstanding shares of MGM that the Company does not already own for $48.30 per share in cash. The Company reserves the right to withdraw or modify the proposal at any time, or to terminate discussions and negotiations at any time in our sole discretion. No legal obligation with respect to our proposal or any other matter will arise unless and until we have executed definitive transaction documentation with MGM.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Restructuring</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28, 2026, the Company initiated a plan to consolidate its corporate functions with those of People Inc. through a reduction in workforce, technology integrations and other cost-saving measures over the coming quarters (the “Plan”). The Plan is expected to be completed during the first quarter of 2027.</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costs expected to be incurred in connection with the Plan are approximately $63.0 million, including approximately $14.0 million in severance and employee separation benefits, $48.0 million in stock-based compensation expense and $0.5 million in other costs related to the Plan. The total expected stock-based compensation expense includes approximately $32.0 million of expense associated with awards that were modified to vest in connection with the Plan and $16.0 million of expense associated with awards that accelerate based on the original terms of the award agreements. The estimates of the charges and expenditures that the Company expects to incur in connection with the Plan, and the timing thereof, are subject to a number of assumptions and actual amounts may differ materially from these estimates. In addition, the Company may incur other charges or cash expenditures not currently contemplated due to unanticipated events that may occur in connection with the implementation of the Plan.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incurred $0.8 million and $11.1 million of severance and employee separation benefits, respectively, related to the Plan, net of reversals of$0.5 million of previously recorded accrued costs. During both the three and six months ended June 30, 2026, the Company incurred $25.8 million of stock-based compensation expense and $0.2 million of other costs related to the Plan. All charges related to the Plan are included in “General and administrative expense” in the statement of operations. At June 30, 2026, $11.1 million in severance and employee separation benefits is accrued related to the Plan, which is included in “Accrued expenses and other current liabilities” in the balance sheet.</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the Company moves away from its holding company structure and in connection with the Plan, Christopher Halpin will cease to serve as Executive Vice President (“EVP”), Chief Operating Officer and Chief Financial Officer (“CFO”) of the Company, and Kendall Handler will cease to serve as EVP and Chief Legal Officer of the Company, in each case, effective August 5, 2026 (the “Separation Effective Date”). Upon the Separation Effective Date, Neil Vogel, who served as Chief Executive Officer (“CEO”) of People Inc., will become CEO of the Company, and Timothy Quinn, who served as the CFO of People Inc., will become CFO of the Company. Mr. Halpin and Ms. Handler have each entered into employment transition agreements with the Company, each dated April 27, 2026, pursuant to which each executive will serve in their respective positions through the Separation Effective Date.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People Inc. Change to Composition of Operating Segments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As a result of this change, financial information for both the People Inc. Print and Digital segments for prior periods has been recast to conform to the current period presentation.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Shutdown of Search Segment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December 10, 2025, the Company received a notice of non-renewal (the “Notice”) from Google Inc. of the services agreement, dated October 26, 2015 and as subsequently amended (the “Services Agreement”). As a result of the Notice, the Services Agreement was due to expire on March 31, 2026; the Services Agreement was extended through April 30, 2026, at which point the Services Agreement expired. In connection with the expiration of the Services Agreement the Company ceased operations of its Search segment, which are presented as discontinued operations within the Company’s consolidated financial statements for all periods presented.</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Sale of Care.com</w:t>
      </w:r>
    </w:p>
    <w:p>
      <w:pPr>
        <w:pStyle w:val="TextBody"/>
        <w:bidi w:val="0"/>
        <w:spacing w:lineRule="auto" w:line="276"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completed the sale of its wholly-owned subsidiary, Care.com, for net proceeds of $300.2 million. In July 2026, the remaining $4.5 million of cash proceeds, which was held in escrow at June 30, 2026, was received by the Company. As a result of the transaction, the consolidated operations of Care.com are presented as discontinued operations within the Company’s consolidated financial statements for all periods prior to March 16, 2026.</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Angi Inc. Distribution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completed the spin-off of Angi Inc. (“Angi”) by means of a special dividend (the “Distribution”) of all shares of Angi capital stock held by the Company to holders of its common stock and Class B common stock. Following the Distribution, the Company no longer owns any shares of Angi’s capital stock and Angi became an independent public company. As a result of the Distribution, the consolidated operations of Angi are presented as discontinued operations within the Company’s consolidated financial statements for all periods prior to March 31, 2025.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See “</w:t>
      </w:r>
      <w:hyperlink w:anchor="i473dc8f3a1b24875b0036ddd45bfe466_91">
        <w:r>
          <w:rPr>
            <w:rStyle w:val="InternetLink"/>
            <w:rFonts w:ascii="Times New Roman;serif" w:hAnsi="Times New Roman;serif"/>
            <w:b w:val="false"/>
            <w:color w:val="0000FF"/>
            <w:sz w:val="20"/>
            <w:u w:val="single"/>
          </w:rPr>
          <w:t>Note 13—Discontinued Operations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Defined Terms and Operating Metrics: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as the context otherwise requires, certain terms used in this quarterly report, which include the principal operating metrics we use in managing our business, are defined below:</w:t>
      </w:r>
    </w:p>
    <w:p>
      <w:pPr>
        <w:pStyle w:val="TextBody"/>
        <w:bidi w:val="0"/>
        <w:spacing w:lineRule="auto" w:line="288" w:before="0" w:after="240"/>
        <w:ind w:left="0" w:right="0" w:firstLine="450"/>
        <w:jc w:val="left"/>
        <w:rPr/>
      </w:pPr>
      <w:r>
        <w:rPr>
          <w:rFonts w:ascii="Times New Roman;serif" w:hAnsi="Times New Roman;serif"/>
          <w:b/>
          <w:color w:val="000000"/>
          <w:sz w:val="20"/>
        </w:rPr>
        <w:t xml:space="preserve">Businesses of the Company </w:t>
      </w:r>
      <w:r>
        <w:rPr>
          <w:rFonts w:ascii="Times New Roman;serif" w:hAnsi="Times New Roman;serif"/>
          <w:b w:val="false"/>
          <w:color w:val="000000"/>
          <w:sz w:val="20"/>
        </w:rPr>
        <w:t>(for additional information see “</w:t>
      </w:r>
      <w:hyperlink w:anchor="i473dc8f3a1b24875b0036ddd45bfe466_58">
        <w:r>
          <w:rPr>
            <w:rStyle w:val="InternetLink"/>
            <w:rFonts w:ascii="Times New Roman;serif" w:hAnsi="Times New Roman;serif"/>
            <w:b w:val="false"/>
            <w:color w:val="0000FF"/>
            <w:sz w:val="20"/>
            <w:u w:val="single"/>
          </w:rPr>
          <w:t>Note 6—Segment Information</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People Inc.</w:t>
      </w:r>
      <w:r>
        <w:rPr>
          <w:color w:val="000000"/>
        </w:rPr>
        <w:t xml:space="preserve"> </w:t>
      </w:r>
      <w:r>
        <w:rPr>
          <w:rFonts w:ascii="Times New Roman;serif" w:hAnsi="Times New Roman;serif"/>
          <w:b w:val="false"/>
          <w:color w:val="000000"/>
          <w:sz w:val="20"/>
        </w:rPr>
        <w:t xml:space="preserve">- one of the largest digital and print publishers in America and home to over 40 celebrated brands, including PEOPLE, Food &amp; Wine, Travel + Leisure, InStyle, Better Homes &amp; Gardens and Southern Living, attracting more than 175 million consumers each month. People Inc. has two operating segments: (i) Digital, which includes its digital, mobile and licensing operations; and (ii) Print, which includes its magazine subscription and newsstand operations;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Emerging &amp; Other</w:t>
      </w:r>
      <w:r>
        <w:rPr>
          <w:color w:val="000000"/>
        </w:rPr>
        <w:t xml:space="preserve"> </w:t>
      </w:r>
      <w:r>
        <w:rPr>
          <w:rFonts w:ascii="Times New Roman;serif" w:hAnsi="Times New Roman;serif"/>
          <w:b w:val="false"/>
          <w:color w:val="000000"/>
          <w:sz w:val="20"/>
        </w:rPr>
        <w:t xml:space="preserve">- consists of: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Vivian Health</w:t>
      </w:r>
      <w:r>
        <w:rPr>
          <w:rFonts w:ascii="Times New Roman;serif" w:hAnsi="Times New Roman;serif"/>
          <w:b w:val="false"/>
          <w:color w:val="000000"/>
          <w:sz w:val="20"/>
        </w:rPr>
        <w:t>, a platform to efficiently connect healthcare professionals with job opportunities; and</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The Daily Beast, IAC Films and the operations of certain legacy businesses</w:t>
      </w:r>
      <w:r>
        <w:rPr>
          <w:rFonts w:ascii="Times New Roman;serif" w:hAnsi="Times New Roman;serif"/>
          <w:b w:val="false"/>
          <w:color w:val="000000"/>
          <w:sz w:val="20"/>
        </w:rPr>
        <w:t>.</w:t>
      </w:r>
    </w:p>
    <w:p>
      <w:pPr>
        <w:pStyle w:val="TextBody"/>
        <w:bidi w:val="0"/>
        <w:spacing w:lineRule="auto" w:line="288" w:before="0" w:after="240"/>
        <w:ind w:left="0" w:right="0" w:hanging="270"/>
        <w:jc w:val="left"/>
        <w:rPr/>
      </w:pPr>
      <w:r>
        <w:rPr>
          <w:color w:val="000000"/>
        </w:rPr>
        <w:t>•</w:t>
      </w:r>
      <w:r>
        <w:rPr>
          <w:rFonts w:ascii="Times New Roman;serif" w:hAnsi="Times New Roman;serif"/>
          <w:b/>
          <w:i/>
          <w:color w:val="000000"/>
          <w:sz w:val="20"/>
        </w:rPr>
        <w:t>People Inc.</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Digital Revenue -</w:t>
      </w:r>
      <w:r>
        <w:rPr>
          <w:color w:val="000000"/>
        </w:rPr>
        <w:t xml:space="preserve"> </w:t>
      </w:r>
      <w:r>
        <w:rPr>
          <w:rFonts w:ascii="Times New Roman;serif" w:hAnsi="Times New Roman;serif"/>
          <w:b w:val="false"/>
          <w:color w:val="000000"/>
          <w:sz w:val="20"/>
        </w:rPr>
        <w:t>includes advertising revenue, performance marketing revenue and licensing and other revenue.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i/>
          <w:color w:val="000000"/>
          <w:sz w:val="20"/>
        </w:rPr>
        <w:t>Advertising revenue</w:t>
      </w:r>
      <w:r>
        <w:rPr>
          <w:color w:val="000000"/>
        </w:rPr>
        <w:t xml:space="preserve"> </w:t>
      </w:r>
      <w:r>
        <w:rPr>
          <w:rFonts w:ascii="Times New Roman;serif" w:hAnsi="Times New Roman;serif"/>
          <w:b w:val="false"/>
          <w:color w:val="000000"/>
          <w:sz w:val="20"/>
        </w:rPr>
        <w:t>- primarily includes revenue generated from digital advertisements and intent-based advertising targeting capabilities (D/Cipher), which are sold directly to advertisers or through advertising agencies and programmatic advertising networks.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i/>
          <w:color w:val="000000"/>
          <w:sz w:val="20"/>
        </w:rPr>
        <w:t>Performance marketing revenue</w:t>
      </w:r>
      <w:r>
        <w:rPr>
          <w:color w:val="000000"/>
        </w:rPr>
        <w:t xml:space="preserve"> </w:t>
      </w:r>
      <w:r>
        <w:rPr>
          <w:rFonts w:ascii="Times New Roman;serif" w:hAnsi="Times New Roman;serif"/>
          <w:b w:val="false"/>
          <w:color w:val="000000"/>
          <w:sz w:val="20"/>
        </w:rPr>
        <w:t xml:space="preserve">- primarily includes commissions generated through affiliate commerce, performance marketing services and affinity marketing channels. Affiliate commerce commission revenue is generated when People Inc.’s branded content refers consumers to commerce partner websites resulting in a purchase or transaction. Performance marketing services commission revenue is generated on a cost-per-click or cost-per-action basis. Affinity marketing programs are arrangements where People Inc. acts as an agent for both People Inc. and third-party publishers to market and place magazine subscriptions online for which commission revenue is earned when a subscriber name has been provided to the publisher.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i/>
          <w:color w:val="000000"/>
          <w:sz w:val="20"/>
        </w:rPr>
        <w:t>Licensing and Other revenue</w:t>
      </w:r>
      <w:r>
        <w:rPr>
          <w:color w:val="000000"/>
        </w:rPr>
        <w:t xml:space="preserve"> </w:t>
      </w:r>
      <w:r>
        <w:rPr>
          <w:rFonts w:ascii="Times New Roman;serif" w:hAnsi="Times New Roman;serif"/>
          <w:b w:val="false"/>
          <w:color w:val="000000"/>
          <w:sz w:val="20"/>
        </w:rPr>
        <w:t>- primarily includes revenue generated through brand and content licensing and similar agreements. Brand licensing generates royalties from long-term trademark licensing agreements with retailers, service providers, publishers and manufacturers. Content licensing royalties are earned from our relationship with Apple News+ as well as other content use and distribution relationships, including utilization in large-language models and other artificial intelligence (“AI”) related activities.</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Print Revenue</w:t>
      </w:r>
      <w:r>
        <w:rPr>
          <w:color w:val="000000"/>
        </w:rPr>
        <w:t xml:space="preserve"> </w:t>
      </w:r>
      <w:r>
        <w:rPr>
          <w:rFonts w:ascii="Times New Roman;serif" w:hAnsi="Times New Roman;serif"/>
          <w:b w:val="false"/>
          <w:color w:val="000000"/>
          <w:sz w:val="20"/>
        </w:rPr>
        <w:t xml:space="preserve">- primarily includes subscription, advertising, newsstand, project and other and performance marketing revenue. Project and other revenue primarily includes revenue from custom publishing. Performance marketing revenue includes revenue from marketing third-party magazine subscriptions.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Session-based Revenue</w:t>
      </w:r>
      <w:r>
        <w:rPr>
          <w:color w:val="000000"/>
        </w:rPr>
        <w:t xml:space="preserve"> </w:t>
      </w:r>
      <w:r>
        <w:rPr>
          <w:rFonts w:ascii="Times New Roman;serif" w:hAnsi="Times New Roman;serif"/>
          <w:b w:val="false"/>
          <w:color w:val="000000"/>
          <w:sz w:val="20"/>
        </w:rPr>
        <w:t>- represents revenue related to advertisements served or performance marketing referrals initiated during a session, which is defined as a unique visit to a site that is part of People Inc.’s network. Session-based revenue includes Advertising and Performance marketing revenue earned from People Inc.’s owned and operated or affiliated sites.</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Non-session-based Revenue</w:t>
      </w:r>
      <w:r>
        <w:rPr>
          <w:color w:val="000000"/>
        </w:rPr>
        <w:t xml:space="preserve"> </w:t>
      </w:r>
      <w:r>
        <w:rPr>
          <w:rFonts w:ascii="Times New Roman;serif" w:hAnsi="Times New Roman;serif"/>
          <w:b w:val="false"/>
          <w:color w:val="000000"/>
          <w:sz w:val="20"/>
        </w:rPr>
        <w:t>- represents revenue not dependent upon a session and primarily includes Advertising and Performance marketing revenue earned outside a session on People Inc.’s owned and operated or affiliated sites, such as D/Cipher+, native campaigns, social platforms, email and affinity marketing, and all Licensing and other revenue.</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Total Sessions</w:t>
      </w:r>
      <w:r>
        <w:rPr>
          <w:color w:val="000000"/>
        </w:rPr>
        <w:t xml:space="preserve"> </w:t>
      </w:r>
      <w:r>
        <w:rPr>
          <w:rFonts w:ascii="Times New Roman;serif" w:hAnsi="Times New Roman;serif"/>
          <w:b w:val="false"/>
          <w:color w:val="000000"/>
          <w:sz w:val="20"/>
        </w:rPr>
        <w:t>- represents unique visits to all sites that are part of People Inc.’s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Core Sessions</w:t>
      </w:r>
      <w:r>
        <w:rPr>
          <w:color w:val="000000"/>
        </w:rPr>
        <w:t xml:space="preserve"> </w:t>
      </w:r>
      <w:r>
        <w:rPr>
          <w:rFonts w:ascii="Times New Roman;serif" w:hAnsi="Times New Roman;serif"/>
          <w:b w:val="false"/>
          <w:color w:val="000000"/>
          <w:sz w:val="20"/>
        </w:rPr>
        <w:t>- represents a subset of Total Sessions that comprises unique visits to People Inc.’s most significant (in terms of investment) owned and operated sites as follows:</w:t>
      </w:r>
    </w:p>
    <w:tbl>
      <w:tblPr>
        <w:tblW w:w="4980" w:type="dxa"/>
        <w:jc w:val="left"/>
        <w:tblInd w:w="0" w:type="dxa"/>
        <w:tblLayout w:type="fixed"/>
        <w:tblCellMar>
          <w:top w:w="28" w:type="dxa"/>
          <w:left w:w="28" w:type="dxa"/>
          <w:bottom w:w="28" w:type="dxa"/>
          <w:right w:w="28" w:type="dxa"/>
        </w:tblCellMar>
      </w:tblPr>
      <w:tblGrid>
        <w:gridCol w:w="764"/>
        <w:gridCol w:w="672"/>
        <w:gridCol w:w="679"/>
        <w:gridCol w:w="478"/>
        <w:gridCol w:w="478"/>
        <w:gridCol w:w="484"/>
        <w:gridCol w:w="417"/>
        <w:gridCol w:w="417"/>
        <w:gridCol w:w="591"/>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InStyle</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Simply Recipes</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Allrecipes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Food &amp; Wine</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Serious Eats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Investopedia</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Martha Stewart</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EatingWell</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Better Homes &amp; Gardens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Byrdie</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Parents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Verywell Health</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REAL SIMPLE</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Verywell Mind</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Spruce</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Southern Living</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Travel + Leisure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Operating Costs and Expenses:</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 xml:space="preserve">Cost of revenue (exclusive of depreciation) - </w:t>
      </w:r>
      <w:r>
        <w:rPr>
          <w:rFonts w:ascii="Times New Roman;serif" w:hAnsi="Times New Roman;serif"/>
          <w:b w:val="false"/>
          <w:color w:val="000000"/>
          <w:sz w:val="20"/>
        </w:rPr>
        <w:t>consists primarily of compensation expense (including stock-based compensation expense) and other employee-related costs; production, distribution and editorial costs of the People Inc. Print segment; content costs; purchases of advertising inventory for advertising campaigns sold with People Inc.’s D/Cipher product; traffic acquisition costs, which include payment of amounts based on revenue share and other arrangements; and hosting fees</w:t>
      </w:r>
      <w:r>
        <w:rPr>
          <w:rFonts w:ascii="Times New Roman;serif" w:hAnsi="Times New Roman;serif"/>
          <w:b w:val="false"/>
          <w:i/>
          <w:color w:val="000000"/>
          <w:sz w:val="20"/>
        </w:rPr>
        <w:t>.</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 xml:space="preserve">Selling and marketing expense - </w:t>
      </w:r>
      <w:r>
        <w:rPr>
          <w:rFonts w:ascii="Times New Roman;serif" w:hAnsi="Times New Roman;serif"/>
          <w:b w:val="false"/>
          <w:color w:val="000000"/>
          <w:sz w:val="20"/>
        </w:rPr>
        <w:t>consists primarily of advertising expenditures, which include online marketing expenditures, including fees paid to search engines, social media sites and other online marketing platforms; offline marketing expenditures, which primarily consists of costs related to direct mail and promotional events; compensation expense (including stock-based compensation expense) and other employee-related costs for sales force and marketing personnel; and subscription acquisition costs of the People Inc. Print segment.</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 xml:space="preserve">General and administrative expense - </w:t>
      </w:r>
      <w:r>
        <w:rPr>
          <w:rFonts w:ascii="Times New Roman;serif" w:hAnsi="Times New Roman;serif"/>
          <w:b w:val="false"/>
          <w:color w:val="000000"/>
          <w:sz w:val="20"/>
        </w:rPr>
        <w:t xml:space="preserve">consists primarily of compensation expense (including stock-based compensation expense) and other employee-related costs for personnel engaged in executive management, finance, legal, tax, human resources and customer service functions; rent expense (including impairments of right-of-use assets or “ROU assets” and gains or losses on the amendments or early terminations of lease agreements) and facilities cost; fees for professional services (including transaction-related costs related to the sale of Care.com, the Distribution and acquisitions); provision for credit losses; and software license and maintenance costs.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Product development expense</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consists primarily of compensation expense (including stock-based compensation expense) and other employee-related costs; and third-party contractor costs that are not capitalized for personnel engaged in the design, development, testing and enhancement of product offerings and related technology; and software license and maintenance costs.</w:t>
      </w:r>
    </w:p>
    <w:p>
      <w:pPr>
        <w:pStyle w:val="TextBody"/>
        <w:bidi w:val="0"/>
        <w:spacing w:lineRule="auto" w:line="288" w:before="0" w:after="240"/>
        <w:ind w:left="0" w:right="0" w:firstLine="180"/>
        <w:jc w:val="left"/>
        <w:rPr/>
      </w:pPr>
      <w:r>
        <w:rPr>
          <w:rFonts w:ascii="Times New Roman;serif" w:hAnsi="Times New Roman;serif"/>
          <w:b/>
          <w:color w:val="000000"/>
          <w:sz w:val="20"/>
        </w:rPr>
        <w:t xml:space="preserve">Long-term debt - </w:t>
      </w:r>
      <w:r>
        <w:rPr>
          <w:rFonts w:ascii="Times New Roman;serif" w:hAnsi="Times New Roman;serif"/>
          <w:b w:val="false"/>
          <w:color w:val="000000"/>
          <w:sz w:val="20"/>
        </w:rPr>
        <w:t>The Company’s long-term debt is solely the liability of People Inc. (For additional information see “</w:t>
      </w:r>
      <w:hyperlink w:anchor="i473dc8f3a1b24875b0036ddd45bfe466_46">
        <w:r>
          <w:rPr>
            <w:rStyle w:val="InternetLink"/>
            <w:rFonts w:ascii="Times New Roman;serif" w:hAnsi="Times New Roman;serif"/>
            <w:b w:val="false"/>
            <w:color w:val="0000FF"/>
            <w:sz w:val="20"/>
            <w:u w:val="single"/>
          </w:rPr>
          <w:t>Note 3—Long-term Debt</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 xml:space="preserve">Term Loan A-1 </w:t>
      </w:r>
      <w:r>
        <w:rPr>
          <w:rFonts w:ascii="Times New Roman;serif" w:hAnsi="Times New Roman;serif"/>
          <w:b w:val="false"/>
          <w:color w:val="000000"/>
          <w:sz w:val="20"/>
        </w:rPr>
        <w:t>- due May 14, 2030. On May 14, 2025, People Inc. entered into the Incremental Assumption Agreement and Amendment No. 2 to the Credit Agreement (“Amendment No. 2”), which replaced $288.8 million of the then outstanding Term Loan A with $350 million of the Term Loan A-1 and provided for a new five-year $150 million revolving credit facility (“Revolving Facility”). At June 30, 2026 and December 31, 2025, the outstanding balance of the Term Loan A-1 was $332.5 million and $341.3 million, respectively, and bore interest at secured overnight financing rate (“SOFR”) plus 2.00%, or 5.65% and 5.73%, respectively. The Term Loan A-1 requires quarterly principal payments, which commenced September 30, 2025, of $4.4 million through December 31, 2027, $8.8 million thereafter through December 31, 2028 and $13.1 million thereafter through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Term Loan B-2</w:t>
      </w:r>
      <w:r>
        <w:rPr>
          <w:color w:val="000000"/>
        </w:rPr>
        <w:t xml:space="preserve"> </w:t>
      </w:r>
      <w:r>
        <w:rPr>
          <w:rFonts w:ascii="Times New Roman;serif" w:hAnsi="Times New Roman;serif"/>
          <w:b w:val="false"/>
          <w:color w:val="000000"/>
          <w:sz w:val="20"/>
        </w:rPr>
        <w:t xml:space="preserve">- due June 16, 2032. On June 16, 2025, People Inc. completed the refinancing and replacement of its then outstanding $1.18 billion Term Loan B-1 with a combination of $700 million of the Term Loan B-2 and $400 million of the 7.625% Senior Secured Notes due June 15, 2032 (“2032 Notes”). At June 30, 2026 and December 31, 2025, the outstanding balance of the Term Loan B-2 was $696.5 million and $700.0 million, respectively, and bore interest at SOFR, subject to a minimum of 0.50%, plus 3.50%, or 7.12% and 7.37%, respectively, as the applicable margin was unchanged under the governing agreements. The Term Loan B-2 requires quarterly principal payments of $1.8 million, which commenced March 31, 2026 through maturity.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Term Loan A, Term Loan A-1, Term Loan B-1 and Term Loan B-2 are collectively referred to herein as the “Term Loans.”</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2032 Notes</w:t>
      </w:r>
      <w:r>
        <w:rPr>
          <w:color w:val="000000"/>
        </w:rPr>
        <w:t xml:space="preserve"> </w:t>
      </w:r>
      <w:r>
        <w:rPr>
          <w:rFonts w:ascii="Times New Roman;serif" w:hAnsi="Times New Roman;serif"/>
          <w:b w:val="false"/>
          <w:color w:val="000000"/>
          <w:sz w:val="20"/>
        </w:rPr>
        <w:t xml:space="preserve">- due June 15, 2032. At June 30, 2026 and December 31, 2025, the outstanding balance of the 2032 Notes was $400.0 million. </w:t>
      </w:r>
    </w:p>
    <w:p>
      <w:pPr>
        <w:pStyle w:val="TextBody"/>
        <w:bidi w:val="0"/>
        <w:spacing w:lineRule="auto" w:line="288" w:before="0" w:after="240"/>
        <w:ind w:left="0" w:right="0" w:hanging="270"/>
        <w:jc w:val="left"/>
        <w:rPr/>
      </w:pPr>
      <w:r>
        <w:rPr>
          <w:color w:val="000000"/>
        </w:rPr>
        <w:t>•</w:t>
      </w:r>
      <w:r>
        <w:rPr>
          <w:rFonts w:ascii="Times New Roman;serif" w:hAnsi="Times New Roman;serif"/>
          <w:b/>
          <w:color w:val="000000"/>
          <w:sz w:val="20"/>
        </w:rPr>
        <w:t>Revolving Facility</w:t>
      </w:r>
      <w:r>
        <w:rPr>
          <w:color w:val="000000"/>
        </w:rPr>
        <w:t xml:space="preserve"> </w:t>
      </w:r>
      <w:r>
        <w:rPr>
          <w:rFonts w:ascii="Times New Roman;serif" w:hAnsi="Times New Roman;serif"/>
          <w:b w:val="false"/>
          <w:color w:val="000000"/>
          <w:sz w:val="20"/>
        </w:rPr>
        <w:t xml:space="preserve">- is a revolving credit facility of $150 million, which expires on May 14, 2030. To date, People Inc. has never borrowed under its revolving credit facilities. </w:t>
      </w:r>
    </w:p>
    <w:p>
      <w:pPr>
        <w:pStyle w:val="TextBody"/>
        <w:bidi w:val="0"/>
        <w:spacing w:lineRule="auto" w:line="288" w:before="0" w:after="240"/>
        <w:ind w:left="0" w:right="0" w:firstLine="18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68" w:before="0" w:after="0"/>
        <w:ind w:left="0" w:right="0" w:hanging="270"/>
        <w:jc w:val="left"/>
        <w:rPr/>
      </w:pPr>
      <w:r>
        <w:rPr>
          <w:color w:val="000000"/>
        </w:rPr>
        <w:t>•</w:t>
      </w:r>
      <w:r>
        <w:rPr>
          <w:rFonts w:ascii="Times New Roman;serif" w:hAnsi="Times New Roman;serif"/>
          <w:b/>
          <w:color w:val="000000"/>
          <w:sz w:val="20"/>
        </w:rPr>
        <w:t>Adjusted Earnings Before Interest, Taxes, Depreciation and Amortization (“EBITDA”)</w:t>
      </w:r>
      <w:r>
        <w:rPr>
          <w:color w:val="000000"/>
        </w:rPr>
        <w:t xml:space="preserve"> </w:t>
      </w:r>
      <w:r>
        <w:rPr>
          <w:rFonts w:ascii="Times New Roman;serif" w:hAnsi="Times New Roman;serif"/>
          <w:b w:val="false"/>
          <w:color w:val="000000"/>
          <w:sz w:val="20"/>
        </w:rPr>
        <w:t>- is a non-GAAP financial measure. Beginning with the second quarter of 2026, the Company revised its definition of Adjusted EBITDA to also exclude certain items that management believes are not representative of the Company’s core ongoing operating performance and certain items that affect comparability between periods. Adjusted EBITDA for prior periods has been recast to conform to the current period presentation. See “</w:t>
      </w:r>
      <w:hyperlink w:anchor="i473dc8f3a1b24875b0036ddd45bfe466_139">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for the definition of Adjusted EBITDA and required non-GAAP reconciliations.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2026 Compared to the Three and Six Months Ended June 30, 2025</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following discussion should be read in conjunction with</w:t>
      </w:r>
      <w:r>
        <w:rPr>
          <w:color w:val="000000"/>
        </w:rPr>
        <w:t xml:space="preserve">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rFonts w:ascii="Times New Roman;serif" w:hAnsi="Times New Roman;serif"/>
          <w:b w:val="false"/>
          <w:color w:val="000000"/>
          <w:sz w:val="20"/>
        </w:rPr>
        <w:t xml:space="preserve">.” </w:t>
      </w:r>
    </w:p>
    <w:p>
      <w:pPr>
        <w:pStyle w:val="TextBody"/>
        <w:bidi w:val="0"/>
        <w:spacing w:lineRule="auto" w:line="288" w:before="0" w:after="240"/>
        <w:ind w:left="0" w:right="0" w:firstLine="450"/>
        <w:jc w:val="left"/>
        <w:rPr/>
      </w:pPr>
      <w:r>
        <w:rPr>
          <w:rFonts w:ascii="Times New Roman;serif" w:hAnsi="Times New Roman;serif"/>
          <w:b w:val="false"/>
          <w:color w:val="000000"/>
          <w:sz w:val="20"/>
        </w:rPr>
        <w:t>See “</w:t>
      </w:r>
      <w:hyperlink w:anchor="i473dc8f3a1b24875b0036ddd45bfe466_58">
        <w:r>
          <w:rPr>
            <w:rStyle w:val="InternetLink"/>
            <w:rFonts w:ascii="Times New Roman;serif" w:hAnsi="Times New Roman;serif"/>
            <w:b w:val="false"/>
            <w:color w:val="0000FF"/>
            <w:sz w:val="20"/>
            <w:u w:val="single"/>
          </w:rPr>
          <w:t>Note 6—Segment Information</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 xml:space="preserve">” </w:t>
      </w:r>
      <w:r>
        <w:rPr>
          <w:rFonts w:ascii="Times New Roman;serif" w:hAnsi="Times New Roman;serif"/>
          <w:b w:val="false"/>
          <w:color w:val="000000"/>
          <w:sz w:val="20"/>
        </w:rPr>
        <w:t>for revenue of the Company’s segments disaggregated by type of service.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11193" w:type="dxa"/>
        <w:jc w:val="left"/>
        <w:tblInd w:w="0" w:type="dxa"/>
        <w:tblLayout w:type="fixed"/>
        <w:tblCellMar>
          <w:top w:w="28" w:type="dxa"/>
          <w:left w:w="28" w:type="dxa"/>
          <w:bottom w:w="28" w:type="dxa"/>
          <w:right w:w="28" w:type="dxa"/>
        </w:tblCellMar>
      </w:tblPr>
      <w:tblGrid>
        <w:gridCol w:w="374"/>
        <w:gridCol w:w="329"/>
        <w:gridCol w:w="33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68"/>
        <w:gridCol w:w="268"/>
        <w:gridCol w:w="380"/>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People Inc.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eliminations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People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40"/>
        <w:jc w:val="left"/>
        <w:rPr>
          <w:rFonts w:ascii="Times New Roman;serif" w:hAnsi="Times New Roman;serif"/>
          <w:b w:val="false"/>
          <w:color w:val="000000"/>
          <w:sz w:val="16"/>
        </w:rPr>
      </w:pPr>
      <w:r>
        <w:rPr>
          <w:rFonts w:ascii="Times New Roman;serif" w:hAnsi="Times New Roman;serif"/>
          <w:b w:val="false"/>
          <w:color w:val="000000"/>
          <w:sz w:val="16"/>
        </w:rPr>
        <w:t xml:space="preserve">NM = Not meaningful </w:t>
      </w:r>
    </w:p>
    <w:tbl>
      <w:tblPr>
        <w:tblW w:w="11628" w:type="dxa"/>
        <w:jc w:val="left"/>
        <w:tblInd w:w="0" w:type="dxa"/>
        <w:tblLayout w:type="fixed"/>
        <w:tblCellMar>
          <w:top w:w="28" w:type="dxa"/>
          <w:left w:w="28" w:type="dxa"/>
          <w:bottom w:w="28" w:type="dxa"/>
          <w:right w:w="28" w:type="dxa"/>
        </w:tblCellMar>
      </w:tblPr>
      <w:tblGrid>
        <w:gridCol w:w="537"/>
        <w:gridCol w:w="472"/>
        <w:gridCol w:w="477"/>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68"/>
        <w:gridCol w:w="268"/>
        <w:gridCol w:w="380"/>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Session-based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Non-session-based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Digital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67"/>
        <w:gridCol w:w="588"/>
        <w:gridCol w:w="589"/>
        <w:gridCol w:w="278"/>
        <w:gridCol w:w="278"/>
        <w:gridCol w:w="156"/>
        <w:gridCol w:w="109"/>
        <w:gridCol w:w="109"/>
        <w:gridCol w:w="109"/>
        <w:gridCol w:w="278"/>
        <w:gridCol w:w="278"/>
        <w:gridCol w:w="156"/>
        <w:gridCol w:w="109"/>
        <w:gridCol w:w="109"/>
        <w:gridCol w:w="109"/>
        <w:gridCol w:w="242"/>
        <w:gridCol w:w="242"/>
        <w:gridCol w:w="221"/>
        <w:gridCol w:w="109"/>
        <w:gridCol w:w="109"/>
        <w:gridCol w:w="109"/>
        <w:gridCol w:w="202"/>
        <w:gridCol w:w="202"/>
        <w:gridCol w:w="471"/>
        <w:gridCol w:w="109"/>
        <w:gridCol w:w="109"/>
        <w:gridCol w:w="109"/>
        <w:gridCol w:w="278"/>
        <w:gridCol w:w="278"/>
        <w:gridCol w:w="156"/>
        <w:gridCol w:w="109"/>
        <w:gridCol w:w="109"/>
        <w:gridCol w:w="109"/>
        <w:gridCol w:w="278"/>
        <w:gridCol w:w="278"/>
        <w:gridCol w:w="156"/>
        <w:gridCol w:w="109"/>
        <w:gridCol w:w="109"/>
        <w:gridCol w:w="109"/>
        <w:gridCol w:w="242"/>
        <w:gridCol w:w="242"/>
        <w:gridCol w:w="221"/>
        <w:gridCol w:w="109"/>
        <w:gridCol w:w="109"/>
        <w:gridCol w:w="109"/>
        <w:gridCol w:w="200"/>
        <w:gridCol w:w="200"/>
        <w:gridCol w:w="539"/>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metrics:</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People Inc.</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Sessions (in millions)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Sessions (in millions)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 xml:space="preserve">People Inc. revenue decreased $10.7 million, or 2%, to $416.7 million, despite the increase of $14.9 million, or 6%, from Digital, net of intersegment eliminations, due to a decrease of $25.6 million, or 16%, from Print. </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 xml:space="preserve">The Digital increase was due primarily to increases of $8.9 million, or 23%, in Licensing and Other revenue and $6.7 million, or 12%, in Performance marketing revenue, net of intersegment eliminations, partially offset by a decrease of $0.6 million in Advertising revenue. </w:t>
      </w:r>
      <w:r>
        <w:rPr>
          <w:rFonts w:ascii="Times New Roman;serif" w:hAnsi="Times New Roman;serif"/>
          <w:b w:val="false"/>
          <w:color w:val="000000"/>
          <w:sz w:val="20"/>
          <w:shd w:fill="FFFFFF" w:val="clear"/>
        </w:rPr>
        <w:t xml:space="preserve">The increase in Licensing and Other revenue was due primarily to improved performance of Apple News+ and content syndication partners and from the contribution of a content partnership with Meta that was signed in the fourth quarter of 2025. The increase in Performance marketing revenue was due primarily to an increase in affiliate commerce commission revenue due primarily to </w:t>
      </w:r>
      <w:r>
        <w:rPr>
          <w:rFonts w:ascii="Times New Roman;serif" w:hAnsi="Times New Roman;serif"/>
          <w:b w:val="false"/>
          <w:color w:val="000000"/>
          <w:sz w:val="20"/>
        </w:rPr>
        <w:t>higher transaction volumes</w:t>
      </w:r>
      <w:r>
        <w:rPr>
          <w:rFonts w:ascii="Times New Roman;serif" w:hAnsi="Times New Roman;serif"/>
          <w:b w:val="false"/>
          <w:color w:val="000000"/>
          <w:sz w:val="20"/>
          <w:shd w:fill="FFFFFF" w:val="clear"/>
        </w:rPr>
        <w:t xml:space="preserve">. Advertising revenue decreased slightly due primarily to lower premium programmatic volume, partially offset by direct-sold advertising growth primarily from the Health and Pharmaceuticals, Media and Entertainment and Beauty and Style categories, higher open programmatic advertising revenue, other Non-session-based revenue, including the contribution from the acquisition of Feedfeed, which was acquired in the fourth quarter of 2025, and increased contribution from the D/Cipher+ advertising product. Open programmatic advertising revenue increased due primarily to higher programmatic rates, partially offset by lower impression volumes driven by a </w:t>
      </w:r>
      <w:r>
        <w:rPr>
          <w:rFonts w:ascii="Times New Roman;serif" w:hAnsi="Times New Roman;serif"/>
          <w:b w:val="false"/>
          <w:color w:val="000000"/>
          <w:sz w:val="20"/>
        </w:rPr>
        <w:t>22%</w:t>
      </w:r>
      <w:r>
        <w:rPr>
          <w:color w:val="000000"/>
          <w:shd w:fill="FFFFFF" w:val="clear"/>
        </w:rPr>
        <w:t xml:space="preserve"> </w:t>
      </w:r>
      <w:r>
        <w:rPr>
          <w:rFonts w:ascii="Times New Roman;serif" w:hAnsi="Times New Roman;serif"/>
          <w:b w:val="false"/>
          <w:color w:val="000000"/>
          <w:sz w:val="20"/>
          <w:shd w:fill="FFFFFF" w:val="clear"/>
        </w:rPr>
        <w:t>decline in Core Sessions, due primarily to the impact of the increasing prominence of Google AI Overviews on Google search sessions. The Comp</w:t>
      </w:r>
      <w:r>
        <w:rPr>
          <w:rFonts w:ascii="Times New Roman;serif" w:hAnsi="Times New Roman;serif"/>
          <w:b w:val="false"/>
          <w:color w:val="000000"/>
          <w:sz w:val="20"/>
        </w:rPr>
        <w:t xml:space="preserve">any expects the increasing prominence of Google AI Overviews to continue to negatively impact Core Sessions and advertising revenue.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Print decrease was due primarily to decreases of $15.2 million, or 21%, in subscription revenue, $7.1 million, or 19%, in advertising revenue, $1.7 million, or 11%, in project and other revenue and $1.2 million, or 5%, in newsstand revenue. The decreases in both subscription revenue and advertising revenue are due to ongoing portfolio optimization changes that resulted in a reduction in the number of issues sold in the current year compared to the prior year and the ongoing and continuing broader migration of audience from print to digital platforms. The decrease in project and other revenue was due primarily to fewer project-related contracts compared to the prior year. The decrease in newsstand revenue was due primarily to less favorable rates under a renewed contract with a wholesaler.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Emerging &amp; Other revenue increased $4.2 million, or 26%, to $20.0 million due primarily to increases of $3.0 million, or 53%, from The Daily Beast and $1.2 million, or 12%, from Vivian Health. The increase in revenue from The Daily Beast was driven by content licensing, advertising and subscription revenue growth. The increase in revenue from Vivian Health was due to higher subscription and usage revenue, due in part to the contribution from its AI Assistant subscription product launched in fourth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 xml:space="preserve">People Inc. revenue decreased $18.0 million, or 2%, to $802.4 million, despite the increase of $33.0 million, or 7%, from Digital, net of intersegment eliminations, due to a decrease of $51.1 million, or 16%, from Print. </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 xml:space="preserve">The Digital increase was due primarily to increases of $17.2 million, or 24%, in Licensing and Other revenue, $14.9 million, or 14%, in Performance marketing revenue, net of intersegment eliminations, and $0.9 million in advertising revenue. </w:t>
      </w:r>
      <w:r>
        <w:rPr>
          <w:rFonts w:ascii="Times New Roman;serif" w:hAnsi="Times New Roman;serif"/>
          <w:b w:val="false"/>
          <w:color w:val="000000"/>
          <w:sz w:val="20"/>
          <w:shd w:fill="FFFFFF" w:val="clear"/>
        </w:rPr>
        <w:t xml:space="preserve">The increases in Licensing and Other revenue and Performance marketing revenue were due primarily to </w:t>
      </w:r>
      <w:r>
        <w:rPr>
          <w:rFonts w:ascii="Times New Roman;serif" w:hAnsi="Times New Roman;serif"/>
          <w:b w:val="false"/>
          <w:color w:val="000000"/>
          <w:sz w:val="20"/>
        </w:rPr>
        <w:t xml:space="preserve">the factors described above in the three-month discussion. The increase in Performance marketing revenue was further impacted by the achievement of certain volume-related retailer incentive programs. The increase in advertising revenue was due primarily to growth in direct-sold premium advertising </w:t>
      </w:r>
      <w:r>
        <w:rPr>
          <w:rFonts w:ascii="Times New Roman;serif" w:hAnsi="Times New Roman;serif"/>
          <w:b w:val="false"/>
          <w:color w:val="000000"/>
          <w:sz w:val="20"/>
          <w:shd w:fill="FFFFFF" w:val="clear"/>
        </w:rPr>
        <w:t>from the Health and Pharmaceuticals, Beauty and Style and Media and Entertainment categories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increased contribution from the D/Cipher+ advertising product and other Non-session-based revenue, partially offset by lower premium programmatic volume.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Print decrease was due primarily to decreases of $28.1 million, or 19%, in subscription revenue, $14.7 million, or 20%, in advertising revenue, $4.1 million, or 13%, in project and other revenue and $2.7 million, or 20%, in performance marketing revenue. The decreases in subscription revenue, advertising revenue, and project and other revenue are all due, in part, to the factors described above in the three-month discussion. The decrease in performance marketing revenue was due to a decrease in renewals following the discontinuation of certain retail relationships.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Emerging &amp; Other revenue increased $6.0 million, or 17%, to $40.1 million due primarily to increases of $5.2 million, or 44%, from The Daily Beast and $2.1 million, or 10%, from Vivian Health, partially offset by a decrease in revenue of $1.4 million, or 74%, from IAC Films. The increase in revenue from The Daily Beast and Vivian Health was due primarily to the factors described above in the three-month discussion. </w:t>
      </w:r>
    </w:p>
    <w:p>
      <w:pPr>
        <w:pStyle w:val="TextBody"/>
        <w:bidi w:val="0"/>
        <w:spacing w:lineRule="auto" w:line="288" w:before="0" w:after="240"/>
        <w:jc w:val="left"/>
        <w:rPr/>
      </w:pPr>
      <w:r>
        <w:rPr>
          <w:rFonts w:ascii="Times New Roman;serif" w:hAnsi="Times New Roman;serif"/>
          <w:b/>
          <w:i/>
          <w:color w:val="000000"/>
          <w:sz w:val="20"/>
        </w:rPr>
        <w:t>Cost of revenue</w:t>
      </w:r>
      <w:r>
        <w:rPr>
          <w:color w:val="000000"/>
        </w:rPr>
        <w:t xml:space="preserve"> </w:t>
      </w:r>
      <w:r>
        <w:rPr>
          <w:rFonts w:ascii="Times New Roman;serif" w:hAnsi="Times New Roman;serif"/>
          <w:b/>
          <w:i/>
          <w:color w:val="000000"/>
          <w:sz w:val="20"/>
        </w:rPr>
        <w:t>(exclusive of depreciation shown separately below)</w:t>
      </w:r>
    </w:p>
    <w:tbl>
      <w:tblPr>
        <w:tblW w:w="12033" w:type="dxa"/>
        <w:jc w:val="left"/>
        <w:tblInd w:w="0" w:type="dxa"/>
        <w:tblLayout w:type="fixed"/>
        <w:tblCellMar>
          <w:top w:w="28" w:type="dxa"/>
          <w:left w:w="28" w:type="dxa"/>
          <w:bottom w:w="28" w:type="dxa"/>
          <w:right w:w="28" w:type="dxa"/>
        </w:tblCellMar>
      </w:tblPr>
      <w:tblGrid>
        <w:gridCol w:w="1418"/>
        <w:gridCol w:w="311"/>
        <w:gridCol w:w="312"/>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68"/>
        <w:gridCol w:w="268"/>
        <w:gridCol w:w="380"/>
      </w:tblGrid>
      <w:tr>
        <w:trPr/>
        <w:tc>
          <w:tcPr>
            <w:tcW w:w="141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(exclusive of depreciation shown separately below)</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Cost of revenue in 2026 decreased from 2025 due to a decrease of $5.4 million from People Inc., partially offset by an increase of $1.2 million from Emerging &amp; Other.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People Inc. decrease was due to decreases of $4.7 million from Print and $0.7 million from Digital.</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Print decrease was due primarily to decreases of $3.1 million in production and distribution costs (paper, postage, printing and editorial) resulting from the planned reduction in the number of printed copies of certain publications and $1.5 million in compensation expense due primarily to a reduction in headcount.</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Digital decrease was due primarily to decreases of $2.0 million in content costs and $0.8 million related to the purchase of advertising inventory for advertising campaigns sold by a legacy business as it increases its use of D/Cipher technology, partially offset by an increase of $2.5 million in revenue share payments to third parties. The decrease in content costs resulted from lower advertising revenue and a decline in Core Sessions.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Emerging &amp; Other increase was due primarily to an increase of $0.8 million from The Daily Beast resulting from increases in compensation expense of $0.4 million due primarily to higher headcount and $0.2 million in content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 2026 decreased from 2025 due to a decrease of $10.5 million from People Inc., partially offset by an increase of $2.1 million from Emerging &amp; Other.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People Inc. decrease was due primarily to a decrease of $10.7 million from Print due primarily to a decrease of $10.4 million in production and distribution costs (postage, paper, printing and editorial) and $1.6 million in compensation expense. The decrease in both production and distribution costs and compensation expense were due primarily to the factors described above in the three-month discussion.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Emerging &amp; Other increase was due primarily to an increase of $1.3 million from The Daily Beast resulting from increases in compensation expense of $0.8 million due primarily to the factor described above in the three-month discussion and content costs of $0.3 million.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and marketing expense</w:t>
      </w:r>
    </w:p>
    <w:tbl>
      <w:tblPr>
        <w:tblW w:w="11523" w:type="dxa"/>
        <w:jc w:val="left"/>
        <w:tblInd w:w="0" w:type="dxa"/>
        <w:tblLayout w:type="fixed"/>
        <w:tblCellMar>
          <w:top w:w="28" w:type="dxa"/>
          <w:left w:w="28" w:type="dxa"/>
          <w:bottom w:w="28" w:type="dxa"/>
          <w:right w:w="28" w:type="dxa"/>
        </w:tblCellMar>
      </w:tblPr>
      <w:tblGrid>
        <w:gridCol w:w="522"/>
        <w:gridCol w:w="459"/>
        <w:gridCol w:w="460"/>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68"/>
        <w:gridCol w:w="268"/>
        <w:gridCol w:w="380"/>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Selling and marketing expense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decreased</w:t>
      </w:r>
      <w:r>
        <w:rPr>
          <w:color w:val="000000"/>
        </w:rPr>
        <w:t xml:space="preserve"> </w:t>
      </w:r>
      <w:r>
        <w:rPr>
          <w:rFonts w:ascii="Times New Roman;serif" w:hAnsi="Times New Roman;serif"/>
          <w:b w:val="false"/>
          <w:color w:val="000000"/>
          <w:sz w:val="20"/>
        </w:rPr>
        <w:t xml:space="preserve">from 2025 due to a decrease of </w:t>
      </w:r>
      <w:r>
        <w:rPr>
          <w:rFonts w:ascii="Times New Roman;serif" w:hAnsi="Times New Roman;serif"/>
          <w:b w:val="false"/>
          <w:color w:val="000000"/>
          <w:sz w:val="20"/>
          <w:shd w:fill="FFFFFF" w:val="clear"/>
        </w:rPr>
        <w:t>$9.3 million</w:t>
      </w:r>
      <w:r>
        <w:rPr>
          <w:color w:val="000000"/>
        </w:rPr>
        <w:t xml:space="preserve"> </w:t>
      </w:r>
      <w:r>
        <w:rPr>
          <w:rFonts w:ascii="Times New Roman;serif" w:hAnsi="Times New Roman;serif"/>
          <w:b w:val="false"/>
          <w:color w:val="000000"/>
          <w:sz w:val="20"/>
        </w:rPr>
        <w:t xml:space="preserve">from People Inc. resulting from a decrease of </w:t>
      </w:r>
      <w:r>
        <w:rPr>
          <w:rFonts w:ascii="Times New Roman;serif" w:hAnsi="Times New Roman;serif"/>
          <w:b w:val="false"/>
          <w:color w:val="000000"/>
          <w:sz w:val="20"/>
          <w:shd w:fill="FFFFFF" w:val="clear"/>
        </w:rPr>
        <w:t>$14.5 million</w:t>
      </w:r>
      <w:r>
        <w:rPr>
          <w:color w:val="000000"/>
        </w:rPr>
        <w:t xml:space="preserve"> </w:t>
      </w:r>
      <w:r>
        <w:rPr>
          <w:rFonts w:ascii="Times New Roman;serif" w:hAnsi="Times New Roman;serif"/>
          <w:b w:val="false"/>
          <w:color w:val="000000"/>
          <w:sz w:val="20"/>
        </w:rPr>
        <w:t xml:space="preserve">from Print, net of intersegment eliminations, partially offset by an increase of </w:t>
      </w:r>
      <w:r>
        <w:rPr>
          <w:rFonts w:ascii="Times New Roman;serif" w:hAnsi="Times New Roman;serif"/>
          <w:b w:val="false"/>
          <w:color w:val="000000"/>
          <w:sz w:val="20"/>
          <w:shd w:fill="FFFFFF" w:val="clear"/>
        </w:rPr>
        <w:t>$5.2 million</w:t>
      </w:r>
      <w:r>
        <w:rPr>
          <w:color w:val="000000"/>
        </w:rPr>
        <w:t xml:space="preserve"> </w:t>
      </w:r>
      <w:r>
        <w:rPr>
          <w:rFonts w:ascii="Times New Roman;serif" w:hAnsi="Times New Roman;serif"/>
          <w:b w:val="false"/>
          <w:color w:val="000000"/>
          <w:sz w:val="20"/>
        </w:rPr>
        <w:t>from Digital.</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Print decrease was due primarily to a decrease of $12.5 million in subscription acquisition costs due primarily to the on-going portfolio optimization changes that reduced the number of issues produced compared to the prior year.</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Digital increase was due primarily to an increase of $4.1 million in advertising expense resulting from an increase in online marketing spend due primarily to an increase in paid affiliate commerce commission revenue.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Selling and marketing expense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decreased</w:t>
      </w:r>
      <w:r>
        <w:rPr>
          <w:color w:val="000000"/>
        </w:rPr>
        <w:t xml:space="preserve"> </w:t>
      </w:r>
      <w:r>
        <w:rPr>
          <w:rFonts w:ascii="Times New Roman;serif" w:hAnsi="Times New Roman;serif"/>
          <w:b w:val="false"/>
          <w:color w:val="000000"/>
          <w:sz w:val="20"/>
        </w:rPr>
        <w:t xml:space="preserve">from 2025 due to a decrease of </w:t>
      </w:r>
      <w:r>
        <w:rPr>
          <w:rFonts w:ascii="Times New Roman;serif" w:hAnsi="Times New Roman;serif"/>
          <w:b w:val="false"/>
          <w:color w:val="000000"/>
          <w:sz w:val="20"/>
          <w:shd w:fill="FFFFFF" w:val="clear"/>
        </w:rPr>
        <w:t>$12.9 million</w:t>
      </w:r>
      <w:r>
        <w:rPr>
          <w:color w:val="000000"/>
        </w:rPr>
        <w:t xml:space="preserve"> </w:t>
      </w:r>
      <w:r>
        <w:rPr>
          <w:rFonts w:ascii="Times New Roman;serif" w:hAnsi="Times New Roman;serif"/>
          <w:b w:val="false"/>
          <w:color w:val="000000"/>
          <w:sz w:val="20"/>
        </w:rPr>
        <w:t xml:space="preserve">from People Inc. resulting from a decrease of </w:t>
      </w:r>
      <w:r>
        <w:rPr>
          <w:rFonts w:ascii="Times New Roman;serif" w:hAnsi="Times New Roman;serif"/>
          <w:b w:val="false"/>
          <w:color w:val="000000"/>
          <w:sz w:val="20"/>
          <w:shd w:fill="FFFFFF" w:val="clear"/>
        </w:rPr>
        <w:t>$26.5 million</w:t>
      </w:r>
      <w:r>
        <w:rPr>
          <w:color w:val="000000"/>
        </w:rPr>
        <w:t xml:space="preserve"> </w:t>
      </w:r>
      <w:r>
        <w:rPr>
          <w:rFonts w:ascii="Times New Roman;serif" w:hAnsi="Times New Roman;serif"/>
          <w:b w:val="false"/>
          <w:color w:val="000000"/>
          <w:sz w:val="20"/>
        </w:rPr>
        <w:t xml:space="preserve">from Print, net of intersegment eliminations, partially offset by an increase of </w:t>
      </w:r>
      <w:r>
        <w:rPr>
          <w:rFonts w:ascii="Times New Roman;serif" w:hAnsi="Times New Roman;serif"/>
          <w:b w:val="false"/>
          <w:color w:val="000000"/>
          <w:sz w:val="20"/>
          <w:shd w:fill="FFFFFF" w:val="clear"/>
        </w:rPr>
        <w:t>$13.6 million</w:t>
      </w:r>
      <w:r>
        <w:rPr>
          <w:color w:val="000000"/>
        </w:rPr>
        <w:t xml:space="preserve"> </w:t>
      </w:r>
      <w:r>
        <w:rPr>
          <w:rFonts w:ascii="Times New Roman;serif" w:hAnsi="Times New Roman;serif"/>
          <w:b w:val="false"/>
          <w:color w:val="000000"/>
          <w:sz w:val="20"/>
        </w:rPr>
        <w:t>from Digital.</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Print decrease was due primarily to a decrease of $22.9 million in subscription acquisition costs due primarily to the factor described above in the three-month discussion.</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Digital increase was due primarily to an increase of $11.3 million in advertising expense due primarily to the factor described above in the three-month discussion and a new initiative to improve sales channels.</w:t>
      </w:r>
    </w:p>
    <w:p>
      <w:pPr>
        <w:pStyle w:val="TextBody"/>
        <w:bidi w:val="0"/>
        <w:spacing w:lineRule="auto" w:line="288" w:before="0" w:after="240"/>
        <w:ind w:left="0" w:right="0" w:hanging="36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tbl>
      <w:tblPr>
        <w:tblW w:w="11778" w:type="dxa"/>
        <w:jc w:val="left"/>
        <w:tblInd w:w="0" w:type="dxa"/>
        <w:tblLayout w:type="fixed"/>
        <w:tblCellMar>
          <w:top w:w="28" w:type="dxa"/>
          <w:left w:w="28" w:type="dxa"/>
          <w:bottom w:w="28" w:type="dxa"/>
          <w:right w:w="28" w:type="dxa"/>
        </w:tblCellMar>
      </w:tblPr>
      <w:tblGrid>
        <w:gridCol w:w="625"/>
        <w:gridCol w:w="550"/>
        <w:gridCol w:w="551"/>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68"/>
        <w:gridCol w:w="268"/>
        <w:gridCol w:w="380"/>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w:t>
              <w:br/>
              <w:t>administrative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0" w:after="120"/>
        <w:jc w:val="left"/>
        <w:rPr/>
      </w:pPr>
      <w:r>
        <w:rPr>
          <w:rFonts w:ascii="Times New Roman;serif" w:hAnsi="Times New Roman;serif"/>
          <w:b w:val="false"/>
          <w:color w:val="000000"/>
          <w:sz w:val="20"/>
        </w:rPr>
        <w:t>General and administrative expense in 2026 increased from 2025 due to increases of $17.7 million from Corporate and $8.4 million</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People Inc., partially offset by a decrease of $9.0 million from Emerging &amp; Other.</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shd w:fill="FFFFFF" w:val="clear"/>
        </w:rPr>
        <w:t>The Corporate increase was due primarily to an increase in compensation expense of $19.6 million due primarily to a</w:t>
      </w:r>
      <w:r>
        <w:rPr>
          <w:rFonts w:ascii="Times New Roman;serif" w:hAnsi="Times New Roman;serif"/>
          <w:b w:val="false"/>
          <w:color w:val="000000"/>
          <w:sz w:val="20"/>
        </w:rPr>
        <w:t xml:space="preserve">n increase of $18.4 million in stock-based compensation expense and $0.8 million in severance and employee separation benefits resulting from the planned reduction in workforce as the Company consolidates its corporate functions with those of People Inc. The increase in stock-based compensation expense is due primarily to the acceleration and modification of stock-based awards related to the Plan. See “Corporate Restructuring” above for additional information on the reduction in workforce. </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The People Inc. increase was due primarily to increase of $4.7 million from Other (unallocated corporate costs) and $4.0 million from Digital.</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Other (unallocated corporate costs) increase was due primarily to $3.7 million in legal costs related to the antitrust litigation against Google and increase of $1.5 million in compensation expense due primarily to an increase in stock-based compensation expense.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Digital increase was due primarily to $3.3 million in legal costs due to an accrual for a certain legal matter.</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Emerging &amp; Other decrease was due primarily to the inclusion in the prior year of $6.5 million in legal costs for litigation that concluded in the third quarter of 2025 related to a legacy business.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120"/>
        <w:jc w:val="left"/>
        <w:rPr/>
      </w:pPr>
      <w:r>
        <w:rPr>
          <w:rFonts w:ascii="Times New Roman;serif" w:hAnsi="Times New Roman;serif"/>
          <w:b w:val="false"/>
          <w:color w:val="000000"/>
          <w:sz w:val="20"/>
        </w:rPr>
        <w:t>General and administrative expense in 2026 increased from 2025 due to in</w:t>
      </w:r>
      <w:r>
        <w:rPr>
          <w:rFonts w:ascii="Times New Roman;serif" w:hAnsi="Times New Roman;serif"/>
          <w:b w:val="false"/>
          <w:color w:val="000000"/>
          <w:sz w:val="20"/>
          <w:shd w:fill="FFFFFF" w:val="clear"/>
        </w:rPr>
        <w:t xml:space="preserve">creases of </w:t>
      </w:r>
      <w:r>
        <w:rPr>
          <w:rFonts w:ascii="Times New Roman;serif" w:hAnsi="Times New Roman;serif"/>
          <w:b w:val="false"/>
          <w:color w:val="000000"/>
          <w:sz w:val="20"/>
        </w:rPr>
        <w:t>$47.9 million</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People Inc. and $45.6 million from Corporate, partially offset by a decrease of $15.4 million from Emerging &amp; Other</w:t>
      </w:r>
      <w:r>
        <w:rPr>
          <w:rFonts w:ascii="Times New Roman;serif" w:hAnsi="Times New Roman;serif"/>
          <w:b w:val="false"/>
          <w:color w:val="000000"/>
          <w:sz w:val="20"/>
          <w:shd w:fill="FFFFFF" w:val="clear"/>
        </w:rPr>
        <w:t>.</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The People Inc. increase was due primarily to increases of $44.3 million from Other (unallocated corporate costs) and $4.0 million from Digital.</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Other (unallocated corporate costs) increase was due primarily to the inclusion in the prior year of a net gain of $36.2 million resulting from the amendment of a lease, which provided for the surrender of certain office space early and $5.9 million in legal costs due primarily to the antitrust litigation against Google and increase of $3.5 million in compensation expense resulting from an increase in stock-based compensation expense.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Digital increase was due primarily to $3.5 million in legal costs due to an accrual for a certain legal matter. </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shd w:fill="FFFFFF" w:val="clear"/>
        </w:rPr>
        <w:t xml:space="preserve">The Corporate increase was due primarily to increases in compensation expense of $45.2 million and legal costs of $2.7 million and $2.2 million in transaction-related costs related to the sale of Care.com on March 16, 2026, partially offset by $4.8 million in </w:t>
      </w:r>
      <w:r>
        <w:rPr>
          <w:rFonts w:ascii="Times New Roman;serif" w:hAnsi="Times New Roman;serif"/>
          <w:b w:val="false"/>
          <w:color w:val="000000"/>
          <w:sz w:val="20"/>
        </w:rPr>
        <w:t>transaction-related costs in the prior year related to the Distribution. The increase in compensation expense was due primarily to an increase in stock-based compensation expense of $52.1 million, partially offset by a decrease of $5.4 million in severance and employee separation benefits. The increase in stock-based compensation expense was due primarily to the reversal in the prior year of $49.8 million of previously recognized expense related to the forfeiture of our former Chief Executive Officer’s (“CEO”) restricted stock award, which was forfeited on January 13, 2025, partially offset by $14.9 million of stock-based compensation expense related to the transfer of 5.0 million Class B shares of Angi held by the Company to our former CEO prior to the Distribution pursuant to his employment transition agreement (the “Employment Transition Agreement”), and the acceleration and modification of stock-based awards in the current year related to the planned reduction in workforce as the Company consolidates its corporate functions with those of People Inc. The decrease in severance and employee separation benefits is due primarily to $14.7 million in separation benefits in the prior year related to our former CEO under his Employment Transition Agreement and $2.3 million in severance and employee separation benefits related to other headcount reductions, partially offset by $11.1 million in severance and employee separation benefits in the current year related to the aforementioned planned reduction in workforce. See “Corporate Restructuring” above for additional information on the reduction in workforce.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Emerging &amp; Other decrease was due primarily to the inclusion in the prior year of $12.7 million in legal costs as described above in the three-month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development expense</w:t>
      </w:r>
    </w:p>
    <w:tbl>
      <w:tblPr>
        <w:tblW w:w="11093" w:type="dxa"/>
        <w:jc w:val="left"/>
        <w:tblInd w:w="0" w:type="dxa"/>
        <w:tblLayout w:type="fixed"/>
        <w:tblCellMar>
          <w:top w:w="28" w:type="dxa"/>
          <w:left w:w="28" w:type="dxa"/>
          <w:bottom w:w="28" w:type="dxa"/>
          <w:right w:w="28" w:type="dxa"/>
        </w:tblCellMar>
      </w:tblPr>
      <w:tblGrid>
        <w:gridCol w:w="587"/>
        <w:gridCol w:w="516"/>
        <w:gridCol w:w="518"/>
        <w:gridCol w:w="196"/>
        <w:gridCol w:w="646"/>
        <w:gridCol w:w="109"/>
        <w:gridCol w:w="109"/>
        <w:gridCol w:w="109"/>
        <w:gridCol w:w="109"/>
        <w:gridCol w:w="196"/>
        <w:gridCol w:w="646"/>
        <w:gridCol w:w="109"/>
        <w:gridCol w:w="109"/>
        <w:gridCol w:w="109"/>
        <w:gridCol w:w="109"/>
        <w:gridCol w:w="196"/>
        <w:gridCol w:w="491"/>
        <w:gridCol w:w="109"/>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214"/>
        <w:gridCol w:w="461"/>
        <w:gridCol w:w="121"/>
        <w:gridCol w:w="109"/>
        <w:gridCol w:w="109"/>
        <w:gridCol w:w="109"/>
        <w:gridCol w:w="268"/>
        <w:gridCol w:w="268"/>
        <w:gridCol w:w="38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development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Product development expense in 2026 decreased from 2025 due primarily to a decrease of $0.4 million from Digital at People Inc. due primarily to a decrease of $0.5 million in compensation expense resulting from an increase in wages being capitalized related to brand growth initiatives.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Product development expense in 2026 increased from 2025 due primarily to an increase of $1.5 million from People Inc., partially offset by a decrease of $0.7 million from Emerging &amp; Other.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People Inc. increase was due primarily to $1.8 million from Digital due primarily to an increase of $1.4 million in software maintenance expense related to AI service costs.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Emerging &amp; Other decrease was due primarily to a decrease of $0.3 million in compensation expense from Vivian Health resulting from a reduction in headcount in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Depreciation</w:t>
      </w:r>
    </w:p>
    <w:tbl>
      <w:tblPr>
        <w:tblW w:w="11413" w:type="dxa"/>
        <w:jc w:val="left"/>
        <w:tblInd w:w="0" w:type="dxa"/>
        <w:tblLayout w:type="fixed"/>
        <w:tblCellMar>
          <w:top w:w="28" w:type="dxa"/>
          <w:left w:w="28" w:type="dxa"/>
          <w:bottom w:w="28" w:type="dxa"/>
          <w:right w:w="28" w:type="dxa"/>
        </w:tblCellMar>
      </w:tblPr>
      <w:tblGrid>
        <w:gridCol w:w="739"/>
        <w:gridCol w:w="649"/>
        <w:gridCol w:w="653"/>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68"/>
        <w:gridCol w:w="268"/>
        <w:gridCol w:w="380"/>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in 2026 increased from 2025 due primarily to an increase of $0.3 million at People Inc. resulting from an increase in assets placed in service compared to the prior year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in 2026 decreased from 2025 due primarily to a decrease of $3.5 million at People Inc. resulting from accelerated depreciation expense recognized in 2025 on certain leasehold improvements in connection with a lease amendment to surrender certain unoccupied office space, partially offset by an increase in assets placed in service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Amortization of Intangibles</w:t>
      </w:r>
    </w:p>
    <w:tbl>
      <w:tblPr>
        <w:tblW w:w="11673" w:type="dxa"/>
        <w:jc w:val="left"/>
        <w:tblInd w:w="0" w:type="dxa"/>
        <w:tblLayout w:type="fixed"/>
        <w:tblCellMar>
          <w:top w:w="28" w:type="dxa"/>
          <w:left w:w="28" w:type="dxa"/>
          <w:bottom w:w="28" w:type="dxa"/>
          <w:right w:w="28" w:type="dxa"/>
        </w:tblCellMar>
      </w:tblPr>
      <w:tblGrid>
        <w:gridCol w:w="745"/>
        <w:gridCol w:w="653"/>
        <w:gridCol w:w="643"/>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68"/>
        <w:gridCol w:w="268"/>
        <w:gridCol w:w="380"/>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in 2026 decreased from 2025 at People Inc. due primarily to the accelerated amortization of certain usage-based intangible assets and lower expense due to certain intangible assets that became fully amortized in the prior year.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5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intangibles in 2026 decreased from 2025 due primarily to the factors described above in the three-month discussion.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income (loss)</w:t>
      </w:r>
    </w:p>
    <w:tbl>
      <w:tblPr>
        <w:tblW w:w="10698" w:type="dxa"/>
        <w:jc w:val="left"/>
        <w:tblInd w:w="0" w:type="dxa"/>
        <w:tblLayout w:type="fixed"/>
        <w:tblCellMar>
          <w:top w:w="28" w:type="dxa"/>
          <w:left w:w="28" w:type="dxa"/>
          <w:bottom w:w="28" w:type="dxa"/>
          <w:right w:w="28" w:type="dxa"/>
        </w:tblCellMar>
      </w:tblPr>
      <w:tblGrid>
        <w:gridCol w:w="487"/>
        <w:gridCol w:w="191"/>
        <w:gridCol w:w="193"/>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290"/>
        <w:gridCol w:w="290"/>
        <w:gridCol w:w="291"/>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268"/>
        <w:gridCol w:w="268"/>
        <w:gridCol w:w="380"/>
      </w:tblGrid>
      <w:tr>
        <w:trPr/>
        <w:tc>
          <w:tcPr>
            <w:tcW w:w="4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People Inc.</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People Inc.</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6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loss increased $6.8 million, or 91%, to $14.3 million, despite the increase of $7.2 million in Adjusted EBITDA, described below, due primarily to increases of $16.7 million in stock-based compensation expense, $0.8 million in transaction-related costs, $0.4 million in restructuring costs, including certain severance and employee separation benefits, and $0.2 million in depreciation, partially offset by decreases of $3.4 million in amortization of intangibles and $0.5 million in litigation matters. The increase in stock-based compensation expense was due primarily to the acceleration and modification of stock-based awards related to the planned reduction in workforce as the Company consolidates its corporate functions with those of People Inc., partially offset by the reversal in the prior year of previously recognized expense related to the forfeiture of our former CEO restricted stock award, as described above under “General and administrative expense.” See “Corporate Restructuring” above for additional information on the reduction in workforce.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loss in 2026 of $46.1 million compares to income of $13.6 million in 2025, representing a $59.7 million decline, despite the increase of $14.2 million in Adjusted EBITDA, described below, due primarily to an increase of $54.5 million in stock-based compensation expense, the inclusion in the prior year of $36.2 million in net gains from lease impairments, terminations and amendments and certain asset sales, and $1.6 million in transaction-related costs, partially offset by decreases of $6.8 million in amortization of intangibles, $5.2 million in restructuring costs, including certain severance and employee separation benefits, $3.7 million in depreciation and $2.2 million in litigation costs. Refer to the “General and administrative expense” discussion above for additional details on the net gains from lease impairments, terminations and amendments and certain asset sales, the increase in stock-based compensation, and the decrease in restructuring costs, including certain severance and employee separation benefits. </w:t>
      </w:r>
    </w:p>
    <w:p>
      <w:pPr>
        <w:pStyle w:val="TextBody"/>
        <w:bidi w:val="0"/>
        <w:spacing w:lineRule="auto" w:line="288" w:before="120" w:after="240"/>
        <w:ind w:left="0" w:right="0" w:firstLine="270"/>
        <w:jc w:val="left"/>
        <w:rPr/>
      </w:pPr>
      <w:r>
        <w:rPr>
          <w:rFonts w:ascii="Times New Roman;serif" w:hAnsi="Times New Roman;serif"/>
          <w:b w:val="false"/>
          <w:color w:val="000000"/>
          <w:sz w:val="20"/>
        </w:rPr>
        <w:t>At June 30, 2026, there was $66.8 million of unrecognized stock-based compensation cost, net of estimated forfeitures, related to all equity-based awards, which is expected to be recognized over a weighted average period of approximately 1.4</w:t>
      </w:r>
      <w:r>
        <w:rPr>
          <w:color w:val="000000"/>
          <w:shd w:fill="FFFFFF" w:val="clear"/>
        </w:rPr>
        <w:t xml:space="preserve"> </w:t>
      </w:r>
      <w:r>
        <w:rPr>
          <w:rFonts w:ascii="Times New Roman;serif" w:hAnsi="Times New Roman;serif"/>
          <w:b w:val="false"/>
          <w:color w:val="000000"/>
          <w:sz w:val="20"/>
        </w:rPr>
        <w:t xml:space="preserve">years.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w:t>
      </w:r>
    </w:p>
    <w:tbl>
      <w:tblPr>
        <w:tblW w:w="10833" w:type="dxa"/>
        <w:jc w:val="left"/>
        <w:tblInd w:w="0" w:type="dxa"/>
        <w:tblLayout w:type="fixed"/>
        <w:tblCellMar>
          <w:top w:w="28" w:type="dxa"/>
          <w:left w:w="28" w:type="dxa"/>
          <w:bottom w:w="28" w:type="dxa"/>
          <w:right w:w="28" w:type="dxa"/>
        </w:tblCellMar>
      </w:tblPr>
      <w:tblGrid>
        <w:gridCol w:w="487"/>
        <w:gridCol w:w="191"/>
        <w:gridCol w:w="19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90"/>
        <w:gridCol w:w="290"/>
        <w:gridCol w:w="29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68"/>
        <w:gridCol w:w="268"/>
        <w:gridCol w:w="380"/>
      </w:tblGrid>
      <w:tr>
        <w:trPr/>
        <w:tc>
          <w:tcPr>
            <w:tcW w:w="4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People Inc.</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People Inc.</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&amp;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296%</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revenue</w:t>
            </w:r>
          </w:p>
        </w:tc>
        <w:tc>
          <w:tcPr>
            <w:tcW w:w="95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firstLine="270"/>
        <w:jc w:val="left"/>
        <w:rPr/>
      </w:pPr>
      <w:r>
        <w:rPr>
          <w:rFonts w:ascii="Times New Roman;serif" w:hAnsi="Times New Roman;serif"/>
          <w:b w:val="false"/>
          <w:color w:val="000000"/>
          <w:sz w:val="20"/>
        </w:rPr>
        <w:t>See “</w:t>
      </w:r>
      <w:hyperlink w:anchor="i473dc8f3a1b24875b0036ddd45bfe466_139">
        <w:r>
          <w:rPr>
            <w:rStyle w:val="InternetLink"/>
            <w:rFonts w:ascii="Times New Roman;serif" w:hAnsi="Times New Roman;serif"/>
            <w:b w:val="false"/>
            <w:color w:val="0000FF"/>
            <w:sz w:val="20"/>
            <w:u w:val="single"/>
          </w:rPr>
          <w:t>Principles of Financial Reporting</w:t>
        </w:r>
      </w:hyperlink>
      <w:r>
        <w:rPr>
          <w:color w:val="000000"/>
        </w:rPr>
        <w:t xml:space="preserve">” </w:t>
      </w:r>
      <w:r>
        <w:rPr>
          <w:rFonts w:ascii="Times New Roman;serif" w:hAnsi="Times New Roman;serif"/>
          <w:b w:val="false"/>
          <w:color w:val="000000"/>
          <w:sz w:val="20"/>
        </w:rPr>
        <w:t>for the definition of Adjusted EBITDA and required non-GAAP reconciliations.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56" w:before="24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56" w:before="240" w:after="240"/>
        <w:ind w:left="0" w:right="0" w:hanging="270"/>
        <w:jc w:val="left"/>
        <w:rPr/>
      </w:pPr>
      <w:r>
        <w:rPr>
          <w:color w:val="000000"/>
          <w:shd w:fill="FFFFFF" w:val="clear"/>
        </w:rPr>
        <w:t>•</w:t>
      </w:r>
      <w:r>
        <w:rPr>
          <w:rFonts w:ascii="Times New Roman;serif" w:hAnsi="Times New Roman;serif"/>
          <w:b w:val="false"/>
          <w:color w:val="000000"/>
          <w:sz w:val="20"/>
        </w:rPr>
        <w:t>People Inc. Adjusted EBITDA increased 5% to $73.3 million due principally to an increase in Adjusted EBITDA of $11.2 million from Digital, partially offset by a decrease in Adjusted EBITDA of $7.3 million from Print.</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shd w:fill="FFFFFF" w:val="clear"/>
        </w:rPr>
        <w:t>The Digital Adjusted EBITDA increase was due primarily to higher reven</w:t>
      </w:r>
      <w:r>
        <w:rPr>
          <w:rFonts w:ascii="Times New Roman;serif" w:hAnsi="Times New Roman;serif"/>
          <w:b w:val="false"/>
          <w:color w:val="000000"/>
          <w:sz w:val="20"/>
        </w:rPr>
        <w:t>ue and expense leverage.</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 xml:space="preserve">The Print Adjusted EBITDA decrease was due primarily to lower revenue, partially offset by lower operating expenses from continued cost rationalization efforts. </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Emerging &amp; Other Adjusted EBITDA increased $2.7 million to $2.9 million due primarily to increased profits at The Daily Beast and Vivian Health.</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Corporate Adjusted EBITDA loss decreased 4% to $20.3 million due primarily to lower operating expenses.</w:t>
      </w:r>
    </w:p>
    <w:p>
      <w:pPr>
        <w:pStyle w:val="TextBody"/>
        <w:bidi w:val="0"/>
        <w:spacing w:lineRule="auto" w:line="25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 xml:space="preserve">People Inc. Adjusted EBITDA increased 5% to $119.3 million due primarily to an increase in Adjusted EBITDA of $19.9 million from Digital, partially offset by a decrease in Adjusted EBITDA of $15.2 million from Print </w:t>
      </w:r>
      <w:r>
        <w:rPr>
          <w:rFonts w:ascii="Times New Roman;serif" w:hAnsi="Times New Roman;serif"/>
          <w:b w:val="false"/>
          <w:color w:val="000000"/>
          <w:sz w:val="20"/>
          <w:shd w:fill="FFFFFF" w:val="clear"/>
        </w:rPr>
        <w:t>due to the factors described above in the three-month discussion.</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Emerging &amp; Other Adjusted EBITDA increased $5.1 million to $6.8 million due primarily to increased profits at The Daily Beast and Vivian Health, partially offset by losses in the current year at IAC Films compared to profits in the prior year.</w:t>
      </w:r>
    </w:p>
    <w:p>
      <w:pPr>
        <w:pStyle w:val="TextBody"/>
        <w:bidi w:val="0"/>
        <w:spacing w:lineRule="auto" w:line="288" w:before="0" w:after="240"/>
        <w:ind w:left="0" w:right="0" w:hanging="270"/>
        <w:jc w:val="left"/>
        <w:rPr/>
      </w:pPr>
      <w:r>
        <w:rPr>
          <w:color w:val="000000"/>
          <w:shd w:fill="FFFFFF" w:val="clear"/>
        </w:rPr>
        <w:t>•</w:t>
      </w:r>
      <w:r>
        <w:rPr>
          <w:rFonts w:ascii="Times New Roman;serif" w:hAnsi="Times New Roman;serif"/>
          <w:b w:val="false"/>
          <w:color w:val="000000"/>
          <w:sz w:val="20"/>
        </w:rPr>
        <w:t xml:space="preserve">Corporate Adjusted EBITDA loss decreased 8% to $40.9 million </w:t>
      </w:r>
      <w:r>
        <w:rPr>
          <w:rFonts w:ascii="Times New Roman;serif" w:hAnsi="Times New Roman;serif"/>
          <w:b w:val="false"/>
          <w:color w:val="000000"/>
          <w:sz w:val="20"/>
          <w:shd w:fill="FFFFFF" w:val="clear"/>
        </w:rPr>
        <w:t xml:space="preserve">due primarily to the factor described above in the three-month discussion.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10533" w:type="dxa"/>
        <w:jc w:val="left"/>
        <w:tblInd w:w="0" w:type="dxa"/>
        <w:tblLayout w:type="fixed"/>
        <w:tblCellMar>
          <w:top w:w="28" w:type="dxa"/>
          <w:left w:w="28" w:type="dxa"/>
          <w:bottom w:w="28" w:type="dxa"/>
          <w:right w:w="28" w:type="dxa"/>
        </w:tblCellMar>
      </w:tblPr>
      <w:tblGrid>
        <w:gridCol w:w="250"/>
        <w:gridCol w:w="220"/>
        <w:gridCol w:w="221"/>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290"/>
        <w:gridCol w:w="290"/>
        <w:gridCol w:w="291"/>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268"/>
        <w:gridCol w:w="268"/>
        <w:gridCol w:w="38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bl>
    <w:p>
      <w:pPr>
        <w:pStyle w:val="TextBody"/>
        <w:bidi w:val="0"/>
        <w:spacing w:lineRule="auto" w:line="256" w:before="24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5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 2026 decreased from 2025 due primarily to both decreases in the amount of debt outstanding and interest rates under the Term Loans, partially offset by interest expense on the 2032 Notes and the inclusion of a $8.5 million extinguishment loss in the second quarter of 2025 in connection with the refinancing of the People Inc. debt. </w:t>
      </w:r>
    </w:p>
    <w:p>
      <w:pPr>
        <w:pStyle w:val="TextBody"/>
        <w:bidi w:val="0"/>
        <w:spacing w:lineRule="auto" w:line="25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5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 2026 decreased from 2025 due primarily to the factors described above in the three-month discussion. </w:t>
      </w:r>
    </w:p>
    <w:p>
      <w:pPr>
        <w:pStyle w:val="TextBody"/>
        <w:bidi w:val="0"/>
        <w:spacing w:lineRule="auto" w:line="288" w:before="120" w:after="240"/>
        <w:ind w:left="0" w:right="0" w:firstLine="270"/>
        <w:jc w:val="left"/>
        <w:rPr/>
      </w:pPr>
      <w:r>
        <w:rPr>
          <w:rFonts w:ascii="Times New Roman;serif" w:hAnsi="Times New Roman;serif"/>
          <w:b w:val="false"/>
          <w:color w:val="000000"/>
          <w:sz w:val="20"/>
        </w:rPr>
        <w:t>For further details, see “</w:t>
      </w:r>
      <w:hyperlink w:anchor="i473dc8f3a1b24875b0036ddd45bfe466_46">
        <w:r>
          <w:rPr>
            <w:rStyle w:val="InternetLink"/>
            <w:rFonts w:ascii="Times New Roman;serif" w:hAnsi="Times New Roman;serif"/>
            <w:b w:val="false"/>
            <w:color w:val="0000FF"/>
            <w:sz w:val="20"/>
            <w:u w:val="single"/>
          </w:rPr>
          <w:t>Note 3—Long-term debt</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 Consolidated Financial Statements</w:t>
        </w:r>
      </w:hyperlink>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Unrealized gain (loss) on investment in MGM</w:t>
      </w:r>
    </w:p>
    <w:tbl>
      <w:tblPr>
        <w:tblW w:w="11133" w:type="dxa"/>
        <w:jc w:val="left"/>
        <w:tblInd w:w="0" w:type="dxa"/>
        <w:tblLayout w:type="fixed"/>
        <w:tblCellMar>
          <w:top w:w="28" w:type="dxa"/>
          <w:left w:w="28" w:type="dxa"/>
          <w:bottom w:w="28" w:type="dxa"/>
          <w:right w:w="28" w:type="dxa"/>
        </w:tblCellMar>
      </w:tblPr>
      <w:tblGrid>
        <w:gridCol w:w="321"/>
        <w:gridCol w:w="282"/>
        <w:gridCol w:w="28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90"/>
        <w:gridCol w:w="290"/>
        <w:gridCol w:w="291"/>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268"/>
        <w:gridCol w:w="268"/>
        <w:gridCol w:w="380"/>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 in MGM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56" w:before="24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and six months ended June 30, 2026 compared to the three and six months ended June 30, 2025</w:t>
      </w:r>
    </w:p>
    <w:p>
      <w:pPr>
        <w:pStyle w:val="TextBody"/>
        <w:bidi w:val="0"/>
        <w:spacing w:lineRule="auto" w:line="256" w:before="240" w:after="240"/>
        <w:ind w:left="0" w:right="0" w:firstLine="450"/>
        <w:jc w:val="left"/>
        <w:rPr/>
      </w:pPr>
      <w:r>
        <w:rPr>
          <w:rFonts w:ascii="Times New Roman;serif" w:hAnsi="Times New Roman;serif"/>
          <w:b w:val="false"/>
          <w:color w:val="000000"/>
          <w:sz w:val="20"/>
        </w:rPr>
        <w:t xml:space="preserve">At June 30, 2026, the Company owns 66.8 million common shares of MGM, including 1.0 million common shares purchased in the first quarter of 2026 for $37.2 million, which represents approximately 26.6% of </w:t>
      </w:r>
      <w:r>
        <w:rPr>
          <w:rFonts w:ascii="Times New Roman;serif" w:hAnsi="Times New Roman;serif"/>
          <w:b w:val="false"/>
          <w:color w:val="000000"/>
          <w:sz w:val="20"/>
          <w:shd w:fill="FFFFFF" w:val="clear"/>
        </w:rPr>
        <w:t>MGM's common shares outstanding</w:t>
      </w:r>
      <w:r>
        <w:rPr>
          <w:rFonts w:ascii="Times New Roman;serif" w:hAnsi="Times New Roman;serif"/>
          <w:b w:val="false"/>
          <w:color w:val="000000"/>
          <w:sz w:val="20"/>
        </w:rPr>
        <w:t>. The Company accounts for its investment in MGM under the equity method of accounting using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w:t>
      </w:r>
    </w:p>
    <w:p>
      <w:pPr>
        <w:pStyle w:val="TextBody"/>
        <w:bidi w:val="0"/>
        <w:spacing w:lineRule="auto" w:line="288" w:before="0" w:after="240"/>
        <w:ind w:left="0" w:right="0" w:firstLine="450"/>
        <w:jc w:val="left"/>
        <w:rPr/>
      </w:pPr>
      <w:r>
        <w:rPr>
          <w:rFonts w:ascii="Times New Roman;serif" w:hAnsi="Times New Roman;serif"/>
          <w:b w:val="false"/>
          <w:color w:val="000000"/>
          <w:sz w:val="20"/>
        </w:rPr>
        <w:t>See “</w:t>
      </w:r>
      <w:hyperlink w:anchor="i473dc8f3a1b24875b0036ddd45bfe466_40">
        <w:r>
          <w:rPr>
            <w:rStyle w:val="InternetLink"/>
            <w:rFonts w:ascii="Times New Roman;serif" w:hAnsi="Times New Roman;serif"/>
            <w:b w:val="false"/>
            <w:color w:val="0000FF"/>
            <w:sz w:val="20"/>
            <w:u w:val="single"/>
          </w:rPr>
          <w:t>Note 2—Financial Instruments and Fair Value Measurements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 xml:space="preserve">” </w:t>
      </w:r>
      <w:r>
        <w:rPr>
          <w:rFonts w:ascii="Times New Roman;serif" w:hAnsi="Times New Roman;serif"/>
          <w:b w:val="false"/>
          <w:color w:val="000000"/>
          <w:sz w:val="20"/>
        </w:rPr>
        <w:t xml:space="preserve">for additional information on the Company’s investment in MGM.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1988"/>
        <w:gridCol w:w="1540"/>
        <w:gridCol w:w="1552"/>
        <w:gridCol w:w="196"/>
        <w:gridCol w:w="646"/>
        <w:gridCol w:w="256"/>
        <w:gridCol w:w="109"/>
        <w:gridCol w:w="109"/>
        <w:gridCol w:w="109"/>
        <w:gridCol w:w="196"/>
        <w:gridCol w:w="646"/>
        <w:gridCol w:w="109"/>
        <w:gridCol w:w="109"/>
        <w:gridCol w:w="109"/>
        <w:gridCol w:w="109"/>
        <w:gridCol w:w="196"/>
        <w:gridCol w:w="646"/>
        <w:gridCol w:w="256"/>
        <w:gridCol w:w="109"/>
        <w:gridCol w:w="109"/>
        <w:gridCol w:w="109"/>
        <w:gridCol w:w="196"/>
        <w:gridCol w:w="646"/>
        <w:gridCol w:w="155"/>
      </w:tblGrid>
      <w:tr>
        <w:trPr/>
        <w:tc>
          <w:tcPr>
            <w:tcW w:w="198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0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an unutilized domain name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downward adjustments to the carrying value of equity securities without readily determinable fair values and net gains on sales of investments and businesses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Change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rFonts w:ascii="Times New Roman;serif" w:hAnsi="Times New Roman;serif"/>
          <w:b/>
          <w:i/>
          <w:color w:val="000000"/>
          <w:sz w:val="20"/>
        </w:rPr>
      </w:pPr>
      <w:r>
        <w:rPr>
          <w:rFonts w:ascii="Times New Roman;serif" w:hAnsi="Times New Roman;serif"/>
          <w:b/>
          <w:i/>
          <w:color w:val="000000"/>
          <w:sz w:val="20"/>
        </w:rPr>
        <w:t>Income tax (provision) benefit</w:t>
      </w:r>
    </w:p>
    <w:tbl>
      <w:tblPr>
        <w:tblW w:w="10908" w:type="dxa"/>
        <w:jc w:val="left"/>
        <w:tblInd w:w="0" w:type="dxa"/>
        <w:tblLayout w:type="fixed"/>
        <w:tblCellMar>
          <w:top w:w="28" w:type="dxa"/>
          <w:left w:w="28" w:type="dxa"/>
          <w:bottom w:w="28" w:type="dxa"/>
          <w:right w:w="28" w:type="dxa"/>
        </w:tblCellMar>
      </w:tblPr>
      <w:tblGrid>
        <w:gridCol w:w="332"/>
        <w:gridCol w:w="291"/>
        <w:gridCol w:w="293"/>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290"/>
        <w:gridCol w:w="290"/>
        <w:gridCol w:w="291"/>
        <w:gridCol w:w="109"/>
        <w:gridCol w:w="109"/>
        <w:gridCol w:w="109"/>
        <w:gridCol w:w="196"/>
        <w:gridCol w:w="751"/>
        <w:gridCol w:w="109"/>
        <w:gridCol w:w="109"/>
        <w:gridCol w:w="109"/>
        <w:gridCol w:w="109"/>
        <w:gridCol w:w="196"/>
        <w:gridCol w:w="421"/>
        <w:gridCol w:w="109"/>
        <w:gridCol w:w="109"/>
        <w:gridCol w:w="109"/>
        <w:gridCol w:w="109"/>
        <w:gridCol w:w="196"/>
        <w:gridCol w:w="751"/>
        <w:gridCol w:w="109"/>
        <w:gridCol w:w="109"/>
        <w:gridCol w:w="109"/>
        <w:gridCol w:w="109"/>
        <w:gridCol w:w="268"/>
        <w:gridCol w:w="268"/>
        <w:gridCol w:w="380"/>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7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For further details of income tax matters, see “</w:t>
      </w:r>
      <w:hyperlink w:anchor="i473dc8f3a1b24875b0036ddd45bfe466_70">
        <w:r>
          <w:rPr>
            <w:rStyle w:val="InternetLink"/>
            <w:rFonts w:ascii="Times New Roman;serif" w:hAnsi="Times New Roman;serif"/>
            <w:b w:val="false"/>
            <w:color w:val="0000FF"/>
            <w:sz w:val="20"/>
            <w:u w:val="single"/>
          </w:rPr>
          <w:t>Note 8—Income Taxes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 Consolidated Financial Statements</w:t>
        </w:r>
      </w:hyperlink>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 the three months ended June 30, 2026 compared to the three months ended June 30, 2025</w:t>
      </w:r>
    </w:p>
    <w:p>
      <w:pPr>
        <w:pStyle w:val="TextBody"/>
        <w:bidi w:val="0"/>
        <w:spacing w:lineRule="auto" w:line="256" w:before="24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In 2026, the effective income tax rate is higher than the statutory rate of 21% due primarily to state taxes. </w:t>
      </w:r>
    </w:p>
    <w:p>
      <w:pPr>
        <w:pStyle w:val="TextBody"/>
        <w:bidi w:val="0"/>
        <w:spacing w:lineRule="auto" w:line="256" w:before="24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2025, the effective income tax rate is higher than the statutory rate of 21% due primarily to state taxes, a deferred tax adjustment and non-deductible compensation expense, partially offset by the realization of a capital loss.</w:t>
      </w:r>
    </w:p>
    <w:p>
      <w:pPr>
        <w:pStyle w:val="TextBody"/>
        <w:bidi w:val="0"/>
        <w:spacing w:lineRule="auto" w:line="25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 the six months ended June 30, 2026 compared to the six months ended June 30, 2025</w:t>
      </w:r>
    </w:p>
    <w:p>
      <w:pPr>
        <w:pStyle w:val="TextBody"/>
        <w:bidi w:val="0"/>
        <w:spacing w:lineRule="auto" w:line="288" w:before="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In 2026, the effective income tax rate is higher than the statutory rate of 21% due primarily to state taxes. </w:t>
      </w:r>
    </w:p>
    <w:p>
      <w:pPr>
        <w:pStyle w:val="TextBody"/>
        <w:bidi w:val="0"/>
        <w:spacing w:lineRule="auto" w:line="288" w:before="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effective income tax rate is lower than the statutory rate of 21% due primarily to a deferred tax adjustment, non-taxable stock-based compensation expense, which included a reversal due to the forfeiture of our former CEO’s restricted stock award pursuant to the Employment Transition Agreement, and state taxes, partially offset by research credits.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(earnings) loss attributable to noncontrolling interests</w:t>
      </w:r>
    </w:p>
    <w:tbl>
      <w:tblPr>
        <w:tblW w:w="10205" w:type="dxa"/>
        <w:jc w:val="left"/>
        <w:tblInd w:w="0" w:type="dxa"/>
        <w:tblLayout w:type="fixed"/>
        <w:tblCellMar>
          <w:top w:w="28" w:type="dxa"/>
          <w:left w:w="28" w:type="dxa"/>
          <w:bottom w:w="28" w:type="dxa"/>
          <w:right w:w="28" w:type="dxa"/>
        </w:tblCellMar>
      </w:tblPr>
      <w:tblGrid>
        <w:gridCol w:w="446"/>
        <w:gridCol w:w="392"/>
        <w:gridCol w:w="393"/>
        <w:gridCol w:w="196"/>
        <w:gridCol w:w="437"/>
        <w:gridCol w:w="109"/>
        <w:gridCol w:w="109"/>
        <w:gridCol w:w="109"/>
        <w:gridCol w:w="109"/>
        <w:gridCol w:w="196"/>
        <w:gridCol w:w="421"/>
        <w:gridCol w:w="109"/>
        <w:gridCol w:w="109"/>
        <w:gridCol w:w="109"/>
        <w:gridCol w:w="109"/>
        <w:gridCol w:w="196"/>
        <w:gridCol w:w="572"/>
        <w:gridCol w:w="109"/>
        <w:gridCol w:w="109"/>
        <w:gridCol w:w="109"/>
        <w:gridCol w:w="109"/>
        <w:gridCol w:w="290"/>
        <w:gridCol w:w="290"/>
        <w:gridCol w:w="291"/>
        <w:gridCol w:w="109"/>
        <w:gridCol w:w="109"/>
        <w:gridCol w:w="109"/>
        <w:gridCol w:w="196"/>
        <w:gridCol w:w="572"/>
        <w:gridCol w:w="109"/>
        <w:gridCol w:w="109"/>
        <w:gridCol w:w="109"/>
        <w:gridCol w:w="109"/>
        <w:gridCol w:w="196"/>
        <w:gridCol w:w="572"/>
        <w:gridCol w:w="109"/>
        <w:gridCol w:w="109"/>
        <w:gridCol w:w="109"/>
        <w:gridCol w:w="109"/>
        <w:gridCol w:w="196"/>
        <w:gridCol w:w="491"/>
        <w:gridCol w:w="109"/>
        <w:gridCol w:w="109"/>
        <w:gridCol w:w="109"/>
        <w:gridCol w:w="109"/>
        <w:gridCol w:w="268"/>
        <w:gridCol w:w="268"/>
        <w:gridCol w:w="383"/>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4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noncontrolling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r>
    </w:tbl>
    <w:p>
      <w:pPr>
        <w:pStyle w:val="TextBody"/>
        <w:bidi w:val="0"/>
        <w:spacing w:lineRule="auto" w:line="288" w:before="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attributable to noncontrolling interests in 2026 primarily represents the allocation of earnings related to a business in Emerging &amp; Other. Net earnings attributable to noncontrolling interests in 2025 primarily represents the publicly-held interest in Angi’s earnings prior to the Distribution, which was completed on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PRINCIPLES OF FINANCIAL REPORTING</w:t>
      </w:r>
    </w:p>
    <w:p>
      <w:pPr>
        <w:pStyle w:val="TextBody"/>
        <w:bidi w:val="0"/>
        <w:spacing w:lineRule="auto" w:line="288" w:before="12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reports Adjusted EBITDA, which is a non-GAAP measure, as a supplemental measure to U.S. generally accepted accounting principles (“GAAP”). This measure is also our primary segment measure of profitability and among the metrics by which we evaluate the performance of our businesses, and our internal budgets are based and may also impact management compensation. We believe that investors and analysts should have access to, and we are obligated to provide, the same set of tools that we use in analyzing our results. This non-GAAP measure should be considered in addition to results prepared in accordance with GAAP but should not be considered a substitute for or superior to GAAP results. The Company endeavors to compensate for the limitations of the non-GAAP measure presented by providing the comparable GAAP measure with equal or greater prominence and descriptions of the reconciling items, including quantifying such items, to derive the non-GAAP measure. We encourage investors to examine the reconciling adjustments between the GAAP and non-GAAP measure, which we discuss below.</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Definition of Non-GAAP Measure</w:t>
      </w:r>
    </w:p>
    <w:p>
      <w:pPr>
        <w:pStyle w:val="TextBody"/>
        <w:bidi w:val="0"/>
        <w:spacing w:lineRule="auto" w:line="276" w:before="0" w:after="0"/>
        <w:ind w:left="0" w:right="0" w:firstLine="450"/>
        <w:jc w:val="left"/>
        <w:rPr/>
      </w:pPr>
      <w:r>
        <w:rPr>
          <w:rFonts w:ascii="Times New Roman;serif" w:hAnsi="Times New Roman;serif"/>
          <w:b w:val="false"/>
          <w:i/>
          <w:color w:val="000000"/>
          <w:sz w:val="20"/>
        </w:rPr>
        <w:t>Adjusted EBITDA (Earnings Before Interest, Taxes, Depreciation and Amortization)</w:t>
      </w:r>
      <w:r>
        <w:rPr>
          <w:color w:val="000000"/>
        </w:rPr>
        <w:t xml:space="preserve"> </w:t>
      </w:r>
      <w:r>
        <w:rPr>
          <w:rFonts w:ascii="Times New Roman;serif" w:hAnsi="Times New Roman;serif"/>
          <w:b w:val="false"/>
          <w:color w:val="000000"/>
          <w:sz w:val="20"/>
        </w:rPr>
        <w:t xml:space="preserve">is defined as operating income excluding: (1) stock-based compensation 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the Company’s core ongoing operating performance and certain items that affect comparability between periods, including, but not limited to, certain (i) restructuring costs, including certain severance and employee separation benefits; (ii) gains and losses from lease impairments, terminations and amendments and certain asset sales; (iii) transaction-related costs; and (iv) litigation-related gains and losses associated with specific matters. </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above items are excluded from our Adjusted EBITDA measure because these items are noncash in nature, or because the amount and timing of these items is unpredictable, not driven by core operating results and render comparisons with prior periods and competitors less meaningful. Management uses Adjusted EBITDA to evaluate the Company’s performance and facilitate comparisons of the Company’s operating results between periods. We believe Adjusted EBITDA is a useful measure for analysts and investors to evaluate our future on-going performance as this measure allows a more meaningful comparison of our performance and projected cash earnings with our historical results from prior periods and to the results of our competitors. Moreover, our management uses this measure internally to evaluate the performance of our business as a whole and our individual business segments. Adjusted EBITDA has certain limitations because it excludes the impact of these items.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 (ii) gains and losses recognized on changes in the fair value of contingent consideration arrangements. Beginning with the second quarter of 2026, the Company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for prior periods has been recast to conform to the current period presentation.</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Items Excluded from Our Non-GAAP Measure</w:t>
      </w:r>
    </w:p>
    <w:p>
      <w:pPr>
        <w:pStyle w:val="TextBody"/>
        <w:bidi w:val="0"/>
        <w:spacing w:lineRule="auto" w:line="288" w:before="0" w:after="240"/>
        <w:ind w:left="0" w:right="0" w:firstLine="450"/>
        <w:jc w:val="left"/>
        <w:rPr/>
      </w:pP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i/>
          <w:color w:val="000000"/>
          <w:sz w:val="20"/>
        </w:rPr>
        <w:t>expense</w:t>
      </w:r>
      <w:r>
        <w:rPr>
          <w:color w:val="000000"/>
        </w:rPr>
        <w:t xml:space="preserve"> </w:t>
      </w:r>
      <w:r>
        <w:rPr>
          <w:rFonts w:ascii="Times New Roman;serif" w:hAnsi="Times New Roman;serif"/>
          <w:b w:val="false"/>
          <w:color w:val="000000"/>
          <w:sz w:val="20"/>
        </w:rPr>
        <w:t>consists principally of expense associated with awards that were granted under various stock and annual incentive plans that are denominated in the Company’s common shares. This expense is not paid in cash and we view the economic costs of stock-based awards to be the dilution to our share base; the related shares are included in our fully diluted shares outstanding for GAAP earnings per share using the treasury stock method. The Company currently settles all stock-based awards on a net basis whereby the Company remits from its current funds the required tax-withholding on behalf of employees for net-settled awards.</w:t>
      </w:r>
    </w:p>
    <w:p>
      <w:pPr>
        <w:pStyle w:val="TextBody"/>
        <w:bidi w:val="0"/>
        <w:spacing w:lineRule="auto" w:line="288" w:before="0" w:after="240"/>
        <w:ind w:left="0" w:right="0" w:firstLine="450"/>
        <w:jc w:val="left"/>
        <w:rPr/>
      </w:pPr>
      <w:r>
        <w:rPr>
          <w:rFonts w:ascii="Times New Roman;serif" w:hAnsi="Times New Roman;serif"/>
          <w:b w:val="false"/>
          <w:i/>
          <w:color w:val="000000"/>
          <w:sz w:val="20"/>
        </w:rPr>
        <w:t xml:space="preserve">Depreciation </w:t>
      </w:r>
      <w:r>
        <w:rPr>
          <w:rFonts w:ascii="Times New Roman;serif" w:hAnsi="Times New Roman;serif"/>
          <w:b w:val="false"/>
          <w:color w:val="000000"/>
          <w:sz w:val="20"/>
        </w:rPr>
        <w:t>is a non-cash expense relating to our buildings, equipment, leasehold improvements and capitalized software and is computed using the straight-line method to allocate the cost of depreciable assets to operations over their estimated useful lives, or, in the case of leasehold improvements, the lease term, if shorter.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firstLine="450"/>
        <w:jc w:val="left"/>
        <w:rPr/>
      </w:pPr>
      <w:r>
        <w:rPr>
          <w:rFonts w:ascii="Times New Roman;serif" w:hAnsi="Times New Roman;serif"/>
          <w:b w:val="false"/>
          <w:i/>
          <w:color w:val="000000"/>
          <w:sz w:val="20"/>
        </w:rPr>
        <w:t xml:space="preserve">Amortization of intangible assets and impairments of goodwill and intangible assets </w:t>
      </w:r>
      <w:r>
        <w:rPr>
          <w:rFonts w:ascii="Times New Roman;serif" w:hAnsi="Times New Roman;serif"/>
          <w:b w:val="false"/>
          <w:color w:val="000000"/>
          <w:sz w:val="20"/>
        </w:rPr>
        <w:t>are non-cash expenses related primarily to acquisitions. At the time of acquisition, the identifiable definite-lived intangible assets of the acquired company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pStyle w:val="TextBody"/>
        <w:bidi w:val="0"/>
        <w:spacing w:lineRule="auto" w:line="288" w:before="0" w:after="240"/>
        <w:ind w:left="0" w:right="0" w:firstLine="450"/>
        <w:jc w:val="left"/>
        <w:rPr/>
      </w:pPr>
      <w:r>
        <w:rPr>
          <w:rFonts w:ascii="Times New Roman;serif" w:hAnsi="Times New Roman;serif"/>
          <w:b w:val="false"/>
          <w:i/>
          <w:color w:val="000000"/>
          <w:sz w:val="20"/>
        </w:rPr>
        <w:t>Gains and losses recognized on changes in the fair value of contingent consideration arrangements</w:t>
      </w:r>
      <w:r>
        <w:rPr>
          <w:color w:val="000000"/>
        </w:rPr>
        <w:t xml:space="preserve"> </w:t>
      </w:r>
      <w:r>
        <w:rPr>
          <w:rFonts w:ascii="Times New Roman;serif" w:hAnsi="Times New Roman;serif"/>
          <w:b w:val="false"/>
          <w:color w:val="000000"/>
          <w:sz w:val="20"/>
        </w:rPr>
        <w:t xml:space="preserve">are accounting adjustments to report liabilities for the portion of the purchase price of acquisitions, if applicable, that is contingent upon the financial performance and/or operating targets of the acquired company at fair value that are recognized in “General and administrative expense” in the statement of operations. These adjustments can be highly variable and are excluded from our assessment of performance because they are considered non-operational in nature and, therefore, are not indicative of current or future performance or the ongoing cost of doing business. The last such arrangement expired during the year ended December 31, 2022. Therefore, there were no gains or losses on contingent consideration arrangements in the three and six months ended June 30, 2026 and 2025. </w:t>
      </w:r>
    </w:p>
    <w:p>
      <w:pPr>
        <w:pStyle w:val="TextBody"/>
        <w:bidi w:val="0"/>
        <w:spacing w:lineRule="auto" w:line="268" w:before="0" w:after="0"/>
        <w:ind w:left="0" w:right="0" w:firstLine="450"/>
        <w:jc w:val="left"/>
        <w:rPr/>
      </w:pPr>
      <w:r>
        <w:rPr>
          <w:rFonts w:ascii="Times New Roman;serif" w:hAnsi="Times New Roman;serif"/>
          <w:b w:val="false"/>
          <w:i/>
          <w:color w:val="000000"/>
          <w:sz w:val="20"/>
        </w:rPr>
        <w:t xml:space="preserve">Restructuring costs, including certain severance and employee separation benefits </w:t>
      </w:r>
      <w:r>
        <w:rPr>
          <w:rFonts w:ascii="Times New Roman;serif" w:hAnsi="Times New Roman;serif"/>
          <w:b w:val="false"/>
          <w:color w:val="000000"/>
          <w:sz w:val="20"/>
        </w:rPr>
        <w:t>relate to certain discrete strategic actions taken by the Company to improve operating efficiencies and to better align its cost structure. Ordinary course severance and employee separation benefits are not considered restructuring costs.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pPr>
      <w:r>
        <w:rPr>
          <w:rFonts w:ascii="Times New Roman;serif" w:hAnsi="Times New Roman;serif"/>
          <w:b w:val="false"/>
          <w:i/>
          <w:color w:val="000000"/>
          <w:sz w:val="20"/>
        </w:rPr>
        <w:t xml:space="preserve">Gains and losses from lease impairments, terminations and amendments and certain asset sales </w:t>
      </w:r>
      <w:r>
        <w:rPr>
          <w:rFonts w:ascii="Times New Roman;serif" w:hAnsi="Times New Roman;serif"/>
          <w:b w:val="false"/>
          <w:color w:val="000000"/>
          <w:sz w:val="20"/>
        </w:rPr>
        <w:t>relate to certain activity to surrender leased space prior to its original lease expiration and the sale of certain assets. These adjustments can be highly variable and are excluded from our assessment of performance because they are considered non-operational in nature and, therefore, are not indicative of current or future performance.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i/>
          <w:color w:val="000000"/>
          <w:sz w:val="20"/>
        </w:rPr>
        <w:t>Transaction-related costs</w:t>
      </w:r>
      <w:r>
        <w:rPr>
          <w:color w:val="000000"/>
        </w:rPr>
        <w:t xml:space="preserve"> </w:t>
      </w:r>
      <w:r>
        <w:rPr>
          <w:rFonts w:ascii="Times New Roman;serif" w:hAnsi="Times New Roman;serif"/>
          <w:b w:val="false"/>
          <w:color w:val="000000"/>
          <w:sz w:val="20"/>
        </w:rPr>
        <w:t>reflect third-party costs incurred in connection with acquisitions, dispositions and spinoffs that are not part of the Company’s core operating activities.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i/>
          <w:color w:val="000000"/>
          <w:sz w:val="20"/>
        </w:rPr>
        <w:t>Litigation matters</w:t>
      </w:r>
      <w:r>
        <w:rPr>
          <w:color w:val="000000"/>
        </w:rPr>
        <w:t xml:space="preserve"> </w:t>
      </w:r>
      <w:r>
        <w:rPr>
          <w:rFonts w:ascii="Times New Roman;serif" w:hAnsi="Times New Roman;serif"/>
          <w:b w:val="false"/>
          <w:color w:val="000000"/>
          <w:sz w:val="20"/>
        </w:rPr>
        <w:t>reflect settlements, judgments, insurance recoveries and related third-party legal costs arising from certain litigation matters, including gains and losses that management determines, based on their nature and circumstances, are outside of the ordinary course of business and not representative of the Company’s core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operating (loss) income to Adjusted EBITDA for the Company’s reportable segments and net earnings (loss) attributable to People Incorporated shareholders:</w:t>
      </w:r>
    </w:p>
    <w:tbl>
      <w:tblPr>
        <w:tblW w:w="15002" w:type="dxa"/>
        <w:jc w:val="left"/>
        <w:tblInd w:w="0" w:type="dxa"/>
        <w:tblLayout w:type="fixed"/>
        <w:tblCellMar>
          <w:top w:w="28" w:type="dxa"/>
          <w:left w:w="28" w:type="dxa"/>
          <w:bottom w:w="28" w:type="dxa"/>
          <w:right w:w="28" w:type="dxa"/>
        </w:tblCellMar>
      </w:tblPr>
      <w:tblGrid>
        <w:gridCol w:w="639"/>
        <w:gridCol w:w="355"/>
        <w:gridCol w:w="357"/>
        <w:gridCol w:w="211"/>
        <w:gridCol w:w="826"/>
        <w:gridCol w:w="109"/>
        <w:gridCol w:w="109"/>
        <w:gridCol w:w="109"/>
        <w:gridCol w:w="109"/>
        <w:gridCol w:w="231"/>
        <w:gridCol w:w="790"/>
        <w:gridCol w:w="120"/>
        <w:gridCol w:w="109"/>
        <w:gridCol w:w="109"/>
        <w:gridCol w:w="109"/>
        <w:gridCol w:w="233"/>
        <w:gridCol w:w="681"/>
        <w:gridCol w:w="122"/>
        <w:gridCol w:w="109"/>
        <w:gridCol w:w="109"/>
        <w:gridCol w:w="109"/>
        <w:gridCol w:w="219"/>
        <w:gridCol w:w="748"/>
        <w:gridCol w:w="114"/>
        <w:gridCol w:w="109"/>
        <w:gridCol w:w="109"/>
        <w:gridCol w:w="109"/>
        <w:gridCol w:w="109"/>
        <w:gridCol w:w="109"/>
        <w:gridCol w:w="109"/>
        <w:gridCol w:w="109"/>
        <w:gridCol w:w="250"/>
        <w:gridCol w:w="731"/>
        <w:gridCol w:w="130"/>
        <w:gridCol w:w="109"/>
        <w:gridCol w:w="109"/>
        <w:gridCol w:w="109"/>
        <w:gridCol w:w="399"/>
        <w:gridCol w:w="910"/>
        <w:gridCol w:w="207"/>
        <w:gridCol w:w="109"/>
        <w:gridCol w:w="109"/>
        <w:gridCol w:w="109"/>
        <w:gridCol w:w="415"/>
        <w:gridCol w:w="916"/>
        <w:gridCol w:w="215"/>
        <w:gridCol w:w="109"/>
        <w:gridCol w:w="109"/>
        <w:gridCol w:w="109"/>
        <w:gridCol w:w="211"/>
        <w:gridCol w:w="616"/>
        <w:gridCol w:w="109"/>
        <w:gridCol w:w="109"/>
        <w:gridCol w:w="109"/>
        <w:gridCol w:w="109"/>
        <w:gridCol w:w="211"/>
        <w:gridCol w:w="721"/>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5" w:type="dxa"/>
            <w:gridSpan w:val="4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267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Restructuring Costs, Including Certain Severance and Employee Separation Benefits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ind w:left="0" w:right="0" w:firstLine="450"/>
              <w:jc w:val="center"/>
              <w:rPr>
                <w:rFonts w:ascii="Times New Roman;serif" w:hAnsi="Times New Roman;serif"/>
                <w:b/>
                <w:color w:val="000000"/>
                <w:sz w:val="16"/>
              </w:rPr>
            </w:pPr>
            <w:r>
              <w:rPr>
                <w:rFonts w:ascii="Times New Roman;serif" w:hAnsi="Times New Roman;serif"/>
                <w:b/>
                <w:color w:val="000000"/>
                <w:sz w:val="16"/>
              </w:rPr>
              <w:t>(Gains) and Losses from Lease Impairments, Terminations and Amendments and Certain Asset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Litigation Matters</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5"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7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People Incorporated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tbl>
      <w:tblPr>
        <w:tblW w:w="14552" w:type="dxa"/>
        <w:jc w:val="left"/>
        <w:tblInd w:w="0" w:type="dxa"/>
        <w:tblLayout w:type="fixed"/>
        <w:tblCellMar>
          <w:top w:w="28" w:type="dxa"/>
          <w:left w:w="28" w:type="dxa"/>
          <w:bottom w:w="28" w:type="dxa"/>
          <w:right w:w="28" w:type="dxa"/>
        </w:tblCellMar>
      </w:tblPr>
      <w:tblGrid>
        <w:gridCol w:w="639"/>
        <w:gridCol w:w="355"/>
        <w:gridCol w:w="357"/>
        <w:gridCol w:w="211"/>
        <w:gridCol w:w="826"/>
        <w:gridCol w:w="109"/>
        <w:gridCol w:w="109"/>
        <w:gridCol w:w="109"/>
        <w:gridCol w:w="109"/>
        <w:gridCol w:w="231"/>
        <w:gridCol w:w="790"/>
        <w:gridCol w:w="120"/>
        <w:gridCol w:w="109"/>
        <w:gridCol w:w="109"/>
        <w:gridCol w:w="109"/>
        <w:gridCol w:w="233"/>
        <w:gridCol w:w="681"/>
        <w:gridCol w:w="122"/>
        <w:gridCol w:w="109"/>
        <w:gridCol w:w="109"/>
        <w:gridCol w:w="109"/>
        <w:gridCol w:w="219"/>
        <w:gridCol w:w="748"/>
        <w:gridCol w:w="114"/>
        <w:gridCol w:w="109"/>
        <w:gridCol w:w="109"/>
        <w:gridCol w:w="109"/>
        <w:gridCol w:w="109"/>
        <w:gridCol w:w="109"/>
        <w:gridCol w:w="109"/>
        <w:gridCol w:w="109"/>
        <w:gridCol w:w="298"/>
        <w:gridCol w:w="658"/>
        <w:gridCol w:w="155"/>
        <w:gridCol w:w="109"/>
        <w:gridCol w:w="109"/>
        <w:gridCol w:w="109"/>
        <w:gridCol w:w="309"/>
        <w:gridCol w:w="596"/>
        <w:gridCol w:w="161"/>
        <w:gridCol w:w="109"/>
        <w:gridCol w:w="109"/>
        <w:gridCol w:w="109"/>
        <w:gridCol w:w="449"/>
        <w:gridCol w:w="864"/>
        <w:gridCol w:w="233"/>
        <w:gridCol w:w="109"/>
        <w:gridCol w:w="109"/>
        <w:gridCol w:w="109"/>
        <w:gridCol w:w="211"/>
        <w:gridCol w:w="616"/>
        <w:gridCol w:w="109"/>
        <w:gridCol w:w="109"/>
        <w:gridCol w:w="109"/>
        <w:gridCol w:w="109"/>
        <w:gridCol w:w="211"/>
        <w:gridCol w:w="721"/>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5" w:type="dxa"/>
            <w:gridSpan w:val="4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267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Restructuring Costs, Including Certain Severance and Employee Separation Benefits</w:t>
            </w:r>
            <w:r>
              <w:rPr>
                <w:rFonts w:ascii="Times New Roman;serif" w:hAnsi="Times New Roman;serif"/>
                <w:b/>
                <w:color w:val="000000"/>
                <w:sz w:val="10"/>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from Lease Impairments, Terminations and Amendments and Certain Asset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Transaction-related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Litigation Matters</w:t>
            </w:r>
            <w:r>
              <w:rPr>
                <w:rFonts w:ascii="Times New Roman;serif" w:hAnsi="Times New Roman;serif"/>
                <w:b/>
                <w:color w:val="000000"/>
                <w:sz w:val="10"/>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5"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7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People Incorporated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tbl>
      <w:tblPr>
        <w:tblW w:w="14662" w:type="dxa"/>
        <w:jc w:val="left"/>
        <w:tblInd w:w="0" w:type="dxa"/>
        <w:tblLayout w:type="fixed"/>
        <w:tblCellMar>
          <w:top w:w="28" w:type="dxa"/>
          <w:left w:w="28" w:type="dxa"/>
          <w:bottom w:w="28" w:type="dxa"/>
          <w:right w:w="28" w:type="dxa"/>
        </w:tblCellMar>
      </w:tblPr>
      <w:tblGrid>
        <w:gridCol w:w="639"/>
        <w:gridCol w:w="355"/>
        <w:gridCol w:w="357"/>
        <w:gridCol w:w="211"/>
        <w:gridCol w:w="826"/>
        <w:gridCol w:w="109"/>
        <w:gridCol w:w="109"/>
        <w:gridCol w:w="109"/>
        <w:gridCol w:w="109"/>
        <w:gridCol w:w="231"/>
        <w:gridCol w:w="790"/>
        <w:gridCol w:w="120"/>
        <w:gridCol w:w="109"/>
        <w:gridCol w:w="109"/>
        <w:gridCol w:w="109"/>
        <w:gridCol w:w="211"/>
        <w:gridCol w:w="721"/>
        <w:gridCol w:w="109"/>
        <w:gridCol w:w="109"/>
        <w:gridCol w:w="109"/>
        <w:gridCol w:w="109"/>
        <w:gridCol w:w="219"/>
        <w:gridCol w:w="748"/>
        <w:gridCol w:w="114"/>
        <w:gridCol w:w="109"/>
        <w:gridCol w:w="109"/>
        <w:gridCol w:w="109"/>
        <w:gridCol w:w="109"/>
        <w:gridCol w:w="109"/>
        <w:gridCol w:w="109"/>
        <w:gridCol w:w="109"/>
        <w:gridCol w:w="225"/>
        <w:gridCol w:w="769"/>
        <w:gridCol w:w="117"/>
        <w:gridCol w:w="109"/>
        <w:gridCol w:w="109"/>
        <w:gridCol w:w="109"/>
        <w:gridCol w:w="280"/>
        <w:gridCol w:w="640"/>
        <w:gridCol w:w="146"/>
        <w:gridCol w:w="109"/>
        <w:gridCol w:w="109"/>
        <w:gridCol w:w="109"/>
        <w:gridCol w:w="348"/>
        <w:gridCol w:w="1017"/>
        <w:gridCol w:w="181"/>
        <w:gridCol w:w="109"/>
        <w:gridCol w:w="109"/>
        <w:gridCol w:w="109"/>
        <w:gridCol w:w="211"/>
        <w:gridCol w:w="616"/>
        <w:gridCol w:w="109"/>
        <w:gridCol w:w="109"/>
        <w:gridCol w:w="109"/>
        <w:gridCol w:w="109"/>
        <w:gridCol w:w="211"/>
        <w:gridCol w:w="82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0" w:type="dxa"/>
            <w:gridSpan w:val="4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2781"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Stock-based</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Restructuring Costs, Including Certain Severance and Employee Separation Benefits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from Lease Impairments, Terminations and Amendments and Certain Asset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Transaction-related Costs</w:t>
            </w:r>
            <w:r>
              <w:rPr>
                <w:rFonts w:ascii="Times New Roman;serif" w:hAnsi="Times New Roman;serif"/>
                <w:b/>
                <w:color w:val="000000"/>
                <w:sz w:val="10"/>
              </w:rPr>
              <w: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Litigation Matters</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0"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781"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in MGM Resorts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sale of Care.com, net of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net of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People Incorporated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tbl>
      <w:tblPr>
        <w:tblW w:w="14662" w:type="dxa"/>
        <w:jc w:val="left"/>
        <w:tblInd w:w="0" w:type="dxa"/>
        <w:tblLayout w:type="fixed"/>
        <w:tblCellMar>
          <w:top w:w="28" w:type="dxa"/>
          <w:left w:w="28" w:type="dxa"/>
          <w:bottom w:w="28" w:type="dxa"/>
          <w:right w:w="28" w:type="dxa"/>
        </w:tblCellMar>
      </w:tblPr>
      <w:tblGrid>
        <w:gridCol w:w="639"/>
        <w:gridCol w:w="355"/>
        <w:gridCol w:w="357"/>
        <w:gridCol w:w="211"/>
        <w:gridCol w:w="721"/>
        <w:gridCol w:w="109"/>
        <w:gridCol w:w="109"/>
        <w:gridCol w:w="109"/>
        <w:gridCol w:w="109"/>
        <w:gridCol w:w="253"/>
        <w:gridCol w:w="757"/>
        <w:gridCol w:w="131"/>
        <w:gridCol w:w="109"/>
        <w:gridCol w:w="109"/>
        <w:gridCol w:w="109"/>
        <w:gridCol w:w="211"/>
        <w:gridCol w:w="721"/>
        <w:gridCol w:w="109"/>
        <w:gridCol w:w="109"/>
        <w:gridCol w:w="109"/>
        <w:gridCol w:w="109"/>
        <w:gridCol w:w="219"/>
        <w:gridCol w:w="748"/>
        <w:gridCol w:w="114"/>
        <w:gridCol w:w="109"/>
        <w:gridCol w:w="109"/>
        <w:gridCol w:w="109"/>
        <w:gridCol w:w="225"/>
        <w:gridCol w:w="769"/>
        <w:gridCol w:w="117"/>
        <w:gridCol w:w="109"/>
        <w:gridCol w:w="109"/>
        <w:gridCol w:w="109"/>
        <w:gridCol w:w="211"/>
        <w:gridCol w:w="746"/>
        <w:gridCol w:w="109"/>
        <w:gridCol w:w="109"/>
        <w:gridCol w:w="109"/>
        <w:gridCol w:w="109"/>
        <w:gridCol w:w="348"/>
        <w:gridCol w:w="1017"/>
        <w:gridCol w:w="181"/>
        <w:gridCol w:w="109"/>
        <w:gridCol w:w="109"/>
        <w:gridCol w:w="109"/>
        <w:gridCol w:w="211"/>
        <w:gridCol w:w="721"/>
        <w:gridCol w:w="109"/>
        <w:gridCol w:w="109"/>
        <w:gridCol w:w="109"/>
        <w:gridCol w:w="109"/>
        <w:gridCol w:w="109"/>
        <w:gridCol w:w="109"/>
        <w:gridCol w:w="109"/>
        <w:gridCol w:w="109"/>
        <w:gridCol w:w="211"/>
        <w:gridCol w:w="826"/>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3" w:type="dxa"/>
            <w:gridSpan w:val="4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Stock-based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40" w:before="0" w:after="0"/>
              <w:jc w:val="center"/>
              <w:rPr/>
            </w:pPr>
            <w:r>
              <w:rPr>
                <w:rFonts w:ascii="Times New Roman;serif" w:hAnsi="Times New Roman;serif"/>
                <w:b/>
                <w:color w:val="000000"/>
                <w:sz w:val="16"/>
              </w:rPr>
              <w:t>Expense</w:t>
            </w:r>
            <w:r>
              <w:rPr>
                <w:rFonts w:ascii="Times New Roman;serif" w:hAnsi="Times New Roman;serif"/>
                <w:b/>
                <w:color w:val="000000"/>
                <w:sz w:val="10"/>
              </w:rPr>
              <w:t>(f)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Restructuring Costs, Including Certain Severance and Employee Separation Benefits</w:t>
            </w:r>
            <w:r>
              <w:rPr>
                <w:rFonts w:ascii="Times New Roman;serif" w:hAnsi="Times New Roman;serif"/>
                <w:b/>
                <w:color w:val="000000"/>
                <w:sz w:val="10"/>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(Gains) and Losses from Lease Impairments, Terminations and Amendments and Certain Asset Sales</w:t>
            </w:r>
            <w:r>
              <w:rPr>
                <w:rFonts w:ascii="Times New Roman;serif" w:hAnsi="Times New Roman;serif"/>
                <w:b/>
                <w:color w:val="000000"/>
                <w:sz w:val="10"/>
              </w:rPr>
              <w:t>(g)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Transaction-related Costs</w:t>
            </w:r>
            <w:r>
              <w:rPr>
                <w:rFonts w:ascii="Times New Roman;serif" w:hAnsi="Times New Roman;serif"/>
                <w:b/>
                <w:color w:val="000000"/>
                <w:sz w:val="10"/>
              </w:rPr>
              <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Litigation Matters</w:t>
            </w:r>
            <w:r>
              <w:rPr>
                <w:rFonts w:ascii="Times New Roman;serif" w:hAnsi="Times New Roman;serif"/>
                <w:b/>
                <w:color w:val="000000"/>
                <w:sz w:val="10"/>
              </w:rPr>
              <w: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w:t>
              <w:br/>
              <w:t>EBITDA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3"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People Inc.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corporate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People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&amp;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 in MGM Resorts 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discontinued operations, net of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People Incorporated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0"/>
        </w:rPr>
        <w:t>(a)    </w:t>
      </w:r>
      <w:r>
        <w:rPr>
          <w:rFonts w:ascii="Times New Roman;serif" w:hAnsi="Times New Roman;serif"/>
          <w:b w:val="false"/>
          <w:color w:val="000000"/>
          <w:sz w:val="16"/>
        </w:rPr>
        <w:t>The three and six months ended June 30, 2026 at Corporate principally represents costs related to a reduction in force as the Company consolidates its corporate function with those of People Inc. as further described under “Management Overview—Corporate Restructuring” above.</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(b)    </w:t>
      </w:r>
      <w:r>
        <w:rPr>
          <w:rFonts w:ascii="Times New Roman;serif" w:hAnsi="Times New Roman;serif"/>
          <w:b w:val="false"/>
          <w:color w:val="000000"/>
          <w:sz w:val="16"/>
        </w:rPr>
        <w:t xml:space="preserve">The three and six months ended June 30, 2026 at People Inc. Digital and People Inc. Other (unallocated corporate costs) represents third-party costs primarily related to accruals for certain legal matters, including the antitrust litigation against Google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0"/>
        </w:rPr>
        <w:t>(c)    </w:t>
      </w:r>
      <w:r>
        <w:rPr>
          <w:rFonts w:ascii="Times New Roman;serif" w:hAnsi="Times New Roman;serif"/>
          <w:b w:val="false"/>
          <w:color w:val="000000"/>
          <w:sz w:val="16"/>
        </w:rPr>
        <w:t>The three and six months ended June 30, 2025 at Corporate primarily represents separation benefits to our former CEO under his employment transition agreement.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The three and six months ended June 30, 2025 at Emerging &amp; Other represents third-party costs related to litigation that concluded in the third quarter of 2025 related to a legacy business.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The six months ended June 30, 2026 at Corporate includes third-party costs related to the sale of Care.com on March 16, 2026 and other transaction-related costs.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The six months ended June 30, 2025 at Corporate reflect the reversal of $49.8 million of previously recognized stock-based compensation expense related to the forfeiture of our former CEO’s restricted stock award pursuant to the Employment Transition Agreement, partially offset by $14.9 million of stock-based compensation expense related to the transfer of 5.0 million Class B shares of Angi held by the Company to our former CEO prior to the Distribution pursuant to his employment transition agreement.</w:t>
      </w:r>
    </w:p>
    <w:p>
      <w:pPr>
        <w:pStyle w:val="TextBody"/>
        <w:bidi w:val="0"/>
        <w:spacing w:lineRule="auto" w:line="268" w:before="120" w:after="240"/>
        <w:ind w:left="0" w:right="0" w:hanging="360"/>
        <w:jc w:val="left"/>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The six months ended June 30, 2025 at People Inc. Other (unallocated corporate costs) is principally related to a gain resulting from an amendment to a lease, which provided for the surrender of certain office space early and is included in “General and Administrative expenses” in the statement of operations. Prior to this amendment, the lease for this office space would have expired in 2032. The ROU asset of the amended lease had been previously impaired in prior years.</w:t>
      </w:r>
    </w:p>
    <w:p>
      <w:pPr>
        <w:pStyle w:val="TextBody"/>
        <w:bidi w:val="0"/>
        <w:spacing w:lineRule="auto" w:line="268" w:before="120" w:after="240"/>
        <w:ind w:left="0" w:right="0" w:hanging="360"/>
        <w:jc w:val="left"/>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16"/>
        </w:rPr>
        <w:t>The six months ended June 30, 2025 represents third-party costs related to the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FINANCIAL POSITION, LIQUIDITY AND CAPITAL RESOURCES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Position</w:t>
      </w:r>
    </w:p>
    <w:tbl>
      <w:tblPr>
        <w:tblW w:w="8522" w:type="dxa"/>
        <w:jc w:val="left"/>
        <w:tblInd w:w="0" w:type="dxa"/>
        <w:tblLayout w:type="fixed"/>
        <w:tblCellMar>
          <w:top w:w="28" w:type="dxa"/>
          <w:left w:w="28" w:type="dxa"/>
          <w:bottom w:w="28" w:type="dxa"/>
          <w:right w:w="28" w:type="dxa"/>
        </w:tblCellMar>
      </w:tblPr>
      <w:tblGrid>
        <w:gridCol w:w="1937"/>
        <w:gridCol w:w="1704"/>
        <w:gridCol w:w="1714"/>
        <w:gridCol w:w="211"/>
        <w:gridCol w:w="976"/>
        <w:gridCol w:w="109"/>
        <w:gridCol w:w="109"/>
        <w:gridCol w:w="109"/>
        <w:gridCol w:w="109"/>
        <w:gridCol w:w="273"/>
        <w:gridCol w:w="1072"/>
        <w:gridCol w:w="199"/>
      </w:tblGrid>
      <w:tr>
        <w:trPr/>
        <w:tc>
          <w:tcPr>
            <w:tcW w:w="193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and cash equivalents at People Inc.:</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at People Inc.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284,318 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and cash equivalents at entities excluding People Inc.</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at entities excluding People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656,993 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and cash equivalents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1,113,008 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941,311 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19" w:type="dxa"/>
        <w:jc w:val="left"/>
        <w:tblInd w:w="0" w:type="dxa"/>
        <w:tblLayout w:type="fixed"/>
        <w:tblCellMar>
          <w:top w:w="28" w:type="dxa"/>
          <w:left w:w="28" w:type="dxa"/>
          <w:bottom w:w="28" w:type="dxa"/>
          <w:right w:w="28" w:type="dxa"/>
        </w:tblCellMar>
      </w:tblPr>
      <w:tblGrid>
        <w:gridCol w:w="1178"/>
        <w:gridCol w:w="1037"/>
        <w:gridCol w:w="1040"/>
        <w:gridCol w:w="211"/>
        <w:gridCol w:w="976"/>
        <w:gridCol w:w="109"/>
        <w:gridCol w:w="109"/>
        <w:gridCol w:w="109"/>
        <w:gridCol w:w="109"/>
        <w:gridCol w:w="211"/>
        <w:gridCol w:w="97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People Inc.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People Inc. 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international cash can be repatriated without significant tax consequences.</w:t>
      </w:r>
    </w:p>
    <w:p>
      <w:pPr>
        <w:pStyle w:val="TextBody"/>
        <w:bidi w:val="0"/>
        <w:spacing w:lineRule="auto" w:line="288" w:before="0" w:after="240"/>
        <w:ind w:left="0" w:right="0" w:firstLine="450"/>
        <w:jc w:val="left"/>
        <w:rPr/>
      </w:pPr>
      <w:r>
        <w:rPr>
          <w:rFonts w:ascii="Times New Roman;serif" w:hAnsi="Times New Roman;serif"/>
          <w:b w:val="false"/>
          <w:color w:val="000000"/>
          <w:sz w:val="20"/>
        </w:rPr>
        <w:t>The Company’s consolidated debt of approximately $1.43 billion is the liability of People Inc. For a detailed description of long-term debt and interest rate swaps, see “</w:t>
      </w:r>
      <w:hyperlink w:anchor="i473dc8f3a1b24875b0036ddd45bfe466_46">
        <w:r>
          <w:rPr>
            <w:rStyle w:val="InternetLink"/>
            <w:rFonts w:ascii="Times New Roman;serif" w:hAnsi="Times New Roman;serif"/>
            <w:b w:val="false"/>
            <w:color w:val="0000FF"/>
            <w:sz w:val="20"/>
            <w:u w:val="single"/>
          </w:rPr>
          <w:t>Note 3—Long-term Debt</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 Consolidated Financial Statements</w:t>
        </w:r>
      </w:hyperlink>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summary, the Company’s cash flows are as follows:</w:t>
      </w:r>
    </w:p>
    <w:tbl>
      <w:tblPr>
        <w:tblW w:w="7599" w:type="dxa"/>
        <w:jc w:val="left"/>
        <w:tblInd w:w="0" w:type="dxa"/>
        <w:tblLayout w:type="fixed"/>
        <w:tblCellMar>
          <w:top w:w="28" w:type="dxa"/>
          <w:left w:w="28" w:type="dxa"/>
          <w:bottom w:w="28" w:type="dxa"/>
          <w:right w:w="28" w:type="dxa"/>
        </w:tblCellMar>
      </w:tblPr>
      <w:tblGrid>
        <w:gridCol w:w="1732"/>
        <w:gridCol w:w="1520"/>
        <w:gridCol w:w="1533"/>
        <w:gridCol w:w="211"/>
        <w:gridCol w:w="901"/>
        <w:gridCol w:w="109"/>
        <w:gridCol w:w="109"/>
        <w:gridCol w:w="109"/>
        <w:gridCol w:w="109"/>
        <w:gridCol w:w="211"/>
        <w:gridCol w:w="901"/>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attributable to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attributable to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 attributable to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attributable to continuing operations consists of net earnings (loss) attributable to continuing operations adjusted for non-cash items and the effect of changes in working capital. Non-cash adjustments include the unrealized (gain) loss on the investment in MGM, amortization of intangibles, depreciation, stock-based compensation expense, deferred income taxes, non-cash lease expense (including ROU asset impairments), net gains on amendments and early terminations of lease agreements, net downward adjustments to the carrying value of equity securities without readily determinable fair values and net gains on sales of investments and businesses and gain on sale of an unutilized domain name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2026</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Adjustments to net earnings attributable to continuing operations consist primarily of an unrealized gain on the investment in MGM of $755.7 million and gain on sale of an unutilized domain name of $7.5 million, partially offset by deferred income taxes of $166.7 million, stock-based compensation expense of $51.4 million, amortization of intangibles of $38.1 million, non-cash lease expense of $15.1 million, depreciation of $14.8 million and net downward adjustments to the carrying value of equity securities without readily determinable fair values and net gains on sales of investments of $4.6 million. The changes in working capital include a decrease in accounts receivable of $77.5 million, partially offset by a decrease in accounts payable and other liabilities of $40.0 million and a decrease in operating lease liabilities of $23.4 million. The decrease in accounts receivable is due primarily to a decrease in revenue in the second quarter of 2026 relative to the fourth quarter of 2025 at People Inc. The decrease in accounts payable and other liabilities is due primarily to a decrease in accrued employee compensation, due primarily to timing of payments, including the payment of 2025 bonuses in 2026, partially offset by an increase in accrued severance and employee separation benefits related to the reduction in workforce as the Company consolidates its corporate functions with those of People Inc., and a decrease in accrued advertising at People Inc. The decrease in operating lease liabilities is due to cash payments on leases, including the final remaining payment of $4.3 million related to an amendment of a lease in the prior year, which provided for the surrender of certain office space early at People Inc., net of interest accretion.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attributable to continuing operations includes net proceeds from the sale of Care.com of $295.7 million and proceeds from the sale of an unutilized domain name of $7.5 million, partially offset by the purchase of 1.0 million common shares of MGM for $37.2 million and capital expenditures of $19.1 million.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continuing operations includes $133.3 million for the repurchase of 3.5 million shares of common stock, on a settlement date basis, at an average price of $37.88 per share, withholding taxes paid on behalf of employees for net settled stock-based awards of $19.5 million and principal payments on the Term Loans of $12.3 million, partially offset by a distribution from Angi Inc. pursuant to the tax sharing agreement of $8.5 million.</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2025</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to net loss attributable to continuing operations consist primarily of amortization of intangibles of $44.8 million, net downward adjustments to the carrying value of equity securities without readily determinable fair values and net gains on sales of investments and businesses of $18.8 million, depreciation of $18.5 million, non-cash lease expense (including ROU asset impairments) of $17.0 million and an unrealized loss on the investment in MGM of $16.8 million, partially offset by net gains on amendments and early terminations of lease agreements of $36.1 million, stock-based compensation expense of $3.1 million and deferred income taxes of $2.6 million. The changes in working capital include a decrease in operating lease liabilities of $63.9 million, a decrease in accounts payable and other liabilities of $29.0 million, an increase in other assets of $26.5 million and a decrease in deferred revenue of $5.2 million, partially offset by a decrease in accounts receivable of $67.2 million. The decrease in operating lease liabilities is due to cash payments on leases, including $43.1 million related to an amendment of a lease, which provided for the surrender of certain office space early at People Inc., net of interest accretion. The decrease in accounts payable and other liabilities is due, in part, to a decrease in accrued employee compensation, due primarily to payment of 2024 bonuses in 2025 and a decrease at People Inc. due to severance payments, partially offset by the accrual of separation benefits to our former CEO under the Employment Transition Agreement, and a decrease in accrued interest on People Inc.’s long-term debt due to timing of payments following the Term Loans refinancing completed in the second quarter of 2025, partially offset by an increase in a liability related to the settlement of a legal matter. The increase in other assets is due primarily to a receivable related to insurance coverage for the aforementioned legal matter, partially offset by a decrease in prepaid hosting services at People Inc. The decrease in deferred revenue is due primarily to the timing of shipments of certain magazine titles at People Inc. The decrease in accounts receivable is due primarily to a decrease in revenue in the second quarter of 2025 relative to the fourth quarter of 2024 at People Inc.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attributable to continuing operations includes $386.6 million related to the allocation of Angi Inc.’s cash in the Distribution and capital expenditures of $8.2 million, partially offset by net proceeds from the sales of investments of $9.9 million and proceeds from the sale of a portion of the retirement investment fund of $8.5 million at People Inc.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attributable to continuing operations includes principal payments on the Term Loans of $1.4 billion and debt issuance and deferred financing costs of $9.9 million, partially offset by the net proceeds from the Term Loans refinancing of $991.5 million and proceeds from the issuance of the 2032 Notes of $400.0 million. Net cash used in financing activities attributable to continuing operations also includes $200.0 million for the repurchase of 4.5 million shares of common stock, on a settlement date basis, for an average price of $44.56 per share, and withholding taxes paid on behalf of employees for net settled stock-based awards of $54.6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discontinued operations of $10.7 million for the six months ended June 30, 2026 relates to the operations of Care.com and Search and the net cash provided by discontinued operations of $1.2 million for the six months ended June 30, 2025 relates to the operations of Care.com, Search and Angi. The Company does not expect significant future cash flows to be used in or provided by its discontinued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Arrangements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 Term Loan A-1 bore interest at SOFR plus 2.00%, or 5.65% and the Term Loan B-2 bore interest at SOFR, subject to a minimum of 0.50%, plus 3.50%, or 7.12%.</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People Inc. holds interest rate swaps that synthetically convert $350 million of the Term Loan B-2 from a variable rate to a fixed rate through April 1, 2027.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 then the interest rate swaps would be fixed in a range from approximately 7.32% to 7.42% as determined by the governing agreements. </w:t>
      </w:r>
    </w:p>
    <w:p>
      <w:pPr>
        <w:pStyle w:val="TextBody"/>
        <w:bidi w:val="0"/>
        <w:spacing w:lineRule="auto" w:line="288" w:before="0" w:after="240"/>
        <w:ind w:left="0" w:right="0" w:firstLine="450"/>
        <w:jc w:val="left"/>
        <w:rPr/>
      </w:pPr>
      <w:r>
        <w:rPr>
          <w:rFonts w:ascii="Times New Roman;serif" w:hAnsi="Times New Roman;serif"/>
          <w:b w:val="false"/>
          <w:color w:val="000000"/>
          <w:sz w:val="20"/>
        </w:rPr>
        <w:t>For a detailed description of long-term debt and interest rate swaps, see “</w:t>
      </w:r>
      <w:hyperlink w:anchor="i473dc8f3a1b24875b0036ddd45bfe466_46">
        <w:r>
          <w:rPr>
            <w:rStyle w:val="InternetLink"/>
            <w:rFonts w:ascii="Times New Roman;serif" w:hAnsi="Times New Roman;serif"/>
            <w:b w:val="false"/>
            <w:color w:val="0000FF"/>
            <w:sz w:val="20"/>
            <w:u w:val="single"/>
          </w:rPr>
          <w:t>Note 3—Long-term Debt</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 Consolidated Financial Statements</w:t>
        </w:r>
      </w:hyperlink>
      <w:r>
        <w:rPr>
          <w:rFonts w:ascii="Times New Roman;serif" w:hAnsi="Times New Roman;serif"/>
          <w:b w:val="false"/>
          <w:color w:val="000000"/>
          <w:sz w:val="20"/>
        </w:rPr>
        <w:t>.”</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Investment in MGM</w:t>
      </w:r>
    </w:p>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At June 30, 2026, the Company owns 66.8 million common shares of MGM, including 1.0 million common shares purchased in the first quarter of 2026 for $37.2 million, which represents approximately 26.6% of </w:t>
      </w:r>
      <w:r>
        <w:rPr>
          <w:rFonts w:ascii="Times New Roman;serif" w:hAnsi="Times New Roman;serif"/>
          <w:b w:val="false"/>
          <w:color w:val="000000"/>
          <w:sz w:val="20"/>
          <w:shd w:fill="FFFFFF" w:val="clear"/>
        </w:rPr>
        <w:t>MGM's common shares outstanding</w:t>
      </w:r>
      <w:r>
        <w:rPr>
          <w:rFonts w:ascii="Times New Roman;serif" w:hAnsi="Times New Roman;serif"/>
          <w:b w:val="false"/>
          <w:color w:val="000000"/>
          <w:sz w:val="20"/>
        </w:rPr>
        <w:t xml:space="preserve">.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Investment in Turo</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Company’s ownership interest in Turo is approximately 33%.</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Share Repurchase Activity and Authorization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3.5 million shares of its common stock, on a trade date basis, at $37.86 per share, or $132.2 million in aggregate, under the 10 million share repurchase authorization approved by the board of directors of the Company on March 16, 2025. On June 16, 2026, the board of directors of the Company approved an authorization for the Company to repurchase an additional 10 million shares of the Company’s common stock. At July 31, 2026, the Company has 12.5 million shares remaining under its authorization.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pStyle w:val="TextBody"/>
        <w:bidi w:val="0"/>
        <w:spacing w:lineRule="auto" w:line="26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there have been no material changes to the Company’s contractual obligations disclosures as previously disclosed in our Annual Report.</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Capital Expenditures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anticipates that it will need to continue to make capital expenditures in connection with the development and expansion of its operations. The Company’s 2026 capital expenditures are expected to be higher than its 2025 capital expenditures of $17.7 million by approximately 60% to 70%, due primarily to leasehold improvements primarily related to the optimization of the remaining space under certain amended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Liquidity Assessment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 consolidated basis, the Company generated positive cash flows from operating activities of $55.6 million for the six months ended June 30, 2026; excluding the positive cash flows from operating activities of $97.6 million generated by People Inc., the Company generated negative cash flows from operating activities of $42.0 million.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Company’s consolidated cash and cash equivalents were $1.1 billion, of which $330.3 million was held by People Inc., and the consolidated debt at June 30, 2026 of approximately $1.4 billion is solely the liability of People Inc. If defined consolidated net leverage ratios are exceeded or if an event of default has occurred, the governing agreements contain additional covenants that would limit People Inc.’s ability to pay dividends, incur incremental secured indebtedness or make distributions or certain investments. As a result, the Company may not be able to freely access People Inc.’s cash. People Inc.’s consolidated net leverage ratio was in compliance for the test period ended June 30, 2026.</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No quarterly contributions have been made to People Inc. since the contribution that the Company made in September 2025, which People Inc. distributed back to the Company in October 2025; therefore, there were no pending contributions or distributions outstanding as of June 30, 2026 and December 31,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liquidity could be negatively affected by a decrease in demand for its products and services resulting from adverse market, macroeconomic or geopolitical conditions, including declines in consumer confidence or spending, high or volatile interest rates, inflationary pressures, labor market disruptions or other factors that reduce customers’ willingness or ability to pay for our offerings.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believes People Inc.’s existing cash, cash equivalents and expected positive cash flows from operations, and the Company’s existing cash and cash equivalents, excluding People Inc., will be sufficient to fund their respective normal operating requirements, including capital expenditures, debt service, the payment of withholding taxes on behalf of employees for net-settled stock-based awards and investing and other commitments for the next twelve months, and thereafter for the foreseeable future. The Company may need to raise additional capital through future debt or equity financing to refinance its existing capital structure and make acquisitions and investments. Additional financing may not be available on terms favorable to the Company, or at all, and may also be impacted by any disruptions or volatility in the financial markets. The indebtedness at People Inc. could further limit the Company’s ability to raise additional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Item 3. Quantitative and Qualitative Disclosures About Market Risk</w:t>
      </w:r>
    </w:p>
    <w:p>
      <w:pPr>
        <w:pStyle w:val="TextBody"/>
        <w:bidi w:val="0"/>
        <w:spacing w:lineRule="auto" w:line="288" w:before="0" w:after="240"/>
        <w:ind w:left="0" w:right="0" w:firstLine="450"/>
        <w:jc w:val="left"/>
        <w:rPr/>
      </w:pPr>
      <w:r>
        <w:rPr>
          <w:rFonts w:ascii="Times New Roman;serif" w:hAnsi="Times New Roman;serif"/>
          <w:b/>
          <w:color w:val="000000"/>
          <w:sz w:val="20"/>
        </w:rPr>
        <w:t>Equity Price Risk</w:t>
      </w:r>
      <w:r>
        <w:rPr>
          <w:color w:val="000000"/>
        </w:rPr>
        <w:t xml:space="preserve"> </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owns 66.8 million common shares of MGM Resorts International (“MGM”). The Company accounts for its investment in MGM under the equity method of accounting and has elected to account for this investment using the fair value option. </w:t>
      </w:r>
    </w:p>
    <w:p>
      <w:pPr>
        <w:pStyle w:val="TextBody"/>
        <w:bidi w:val="0"/>
        <w:spacing w:lineRule="auto" w:line="268" w:before="0" w:after="240"/>
        <w:ind w:left="0" w:right="0" w:firstLine="450"/>
        <w:jc w:val="left"/>
        <w:rPr/>
      </w:pPr>
      <w:r>
        <w:rPr>
          <w:rFonts w:ascii="Times New Roman;serif" w:hAnsi="Times New Roman;serif"/>
          <w:b w:val="false"/>
          <w:color w:val="000000"/>
          <w:sz w:val="20"/>
        </w:rPr>
        <w:t xml:space="preserve">The cumulative unrealized net pre-tax gain at June 30, 2026 is </w:t>
      </w:r>
      <w:r>
        <w:rPr>
          <w:rFonts w:ascii="Times New Roman;serif" w:hAnsi="Times New Roman;serif"/>
          <w:b w:val="false"/>
          <w:color w:val="000000"/>
          <w:sz w:val="20"/>
          <w:shd w:fill="FFFFFF" w:val="clear"/>
        </w:rPr>
        <w:t>$1.9 billion</w:t>
      </w:r>
      <w:r>
        <w:rPr>
          <w:rFonts w:ascii="Times New Roman;serif" w:hAnsi="Times New Roman;serif"/>
          <w:b w:val="false"/>
          <w:color w:val="000000"/>
          <w:sz w:val="20"/>
        </w:rPr>
        <w:t>. At June 30, 2026 and December 31, 2025, the carrying value of the Company’s investment in MGM, which includes the cumulative unrealized pre-tax gains, was $3.2 billion and $2.4 billion, or approximately 42% and 33% of the Company’s consolidated total assets, respectively. A $2.00 increase or decrease in the share price of MGM would result in an unrealized gain or loss, respectively, of $133.6 million. At July 31, 2026, the fair value of the Company’s investment in MGM was</w:t>
      </w:r>
      <w:r>
        <w:rPr>
          <w:color w:val="000000"/>
          <w:shd w:fill="FFFFFF" w:val="clear"/>
        </w:rPr>
        <w:t xml:space="preserve"> </w:t>
      </w:r>
      <w:r>
        <w:rPr>
          <w:rFonts w:ascii="Times New Roman;serif" w:hAnsi="Times New Roman;serif"/>
          <w:b w:val="false"/>
          <w:color w:val="000000"/>
          <w:sz w:val="20"/>
          <w:shd w:fill="FFFFFF" w:val="clear"/>
        </w:rPr>
        <w:t>$3.0 billion</w:t>
      </w:r>
      <w:r>
        <w:rPr>
          <w:rFonts w:ascii="Times New Roman;serif" w:hAnsi="Times New Roman;serif"/>
          <w:b w:val="false"/>
          <w:color w:val="000000"/>
          <w:sz w:val="20"/>
        </w:rPr>
        <w:t>. The Company’s results of operations and financial condition have in the past been and may in the future be materially impacted by increases or decreases in the price of MGM common shares.</w:t>
      </w:r>
    </w:p>
    <w:p>
      <w:pPr>
        <w:pStyle w:val="TextBody"/>
        <w:bidi w:val="0"/>
        <w:spacing w:lineRule="auto" w:line="268" w:before="0" w:after="240"/>
        <w:ind w:left="0" w:right="0" w:firstLine="450"/>
        <w:jc w:val="left"/>
        <w:rPr/>
      </w:pPr>
      <w:r>
        <w:rPr>
          <w:rFonts w:ascii="Times New Roman;serif" w:hAnsi="Times New Roman;serif"/>
          <w:b w:val="false"/>
          <w:color w:val="000000"/>
          <w:sz w:val="20"/>
        </w:rPr>
        <w:t>See “</w:t>
      </w:r>
      <w:hyperlink w:anchor="i473dc8f3a1b24875b0036ddd45bfe466_40">
        <w:r>
          <w:rPr>
            <w:rStyle w:val="InternetLink"/>
            <w:rFonts w:ascii="Times New Roman;serif" w:hAnsi="Times New Roman;serif"/>
            <w:b w:val="false"/>
            <w:color w:val="0000FF"/>
            <w:sz w:val="20"/>
            <w:u w:val="single"/>
          </w:rPr>
          <w:t>Note 2—Financial Instruments and Fair Value Measurements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principal amount of the Company’s outstanding debt totals $1.43 billion. The $1.03 billion principal amount of the Term Loan A-1 due May 14, 2030 (“Term Loan A-1”) and the Term Loan B-2 due June 16, 2032 (“Term Loan B-2”) bear interest at variable rates based upon the secured overnight financing rate (“SOFR”). </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People Inc. holds interest rate swaps to manage interest rate risk with a total notional amount of $350 million, which will mature on April 1, 2027. The interest rate swaps synthetically convert a portion of the Term Loan B-2 from a variable rate to a fixed rate. People Inc. applies hedge accounting to these contracts. The fair value of the interest rate swaps is determined using discounted cash flows derived from observable market prices, including swap curves, and represents what People Inc. would pay or receive to terminate the swap agreements. People Inc. intends to continue to meet the conditions for hedge accounting, however, if these interest rate swaps were not highly effective in offsetting cash flows attributable to the hedged risk, the changes in the fair value of the interest rate swaps used as hedges could have a significant impact on future results of operations.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SOFR were to increase or decrease by 100 basis points, the combined annual interest expense on the Term Loan A-1 and the Term Loan B-2, net of the impact related to the $350 million in notional amount of interest rate swaps, would increase or decrease by $7.5 million.</w:t>
      </w:r>
    </w:p>
    <w:p>
      <w:pPr>
        <w:pStyle w:val="TextBody"/>
        <w:bidi w:val="0"/>
        <w:spacing w:lineRule="auto" w:line="268" w:before="0" w:after="240"/>
        <w:ind w:left="0" w:right="0" w:firstLine="450"/>
        <w:jc w:val="left"/>
        <w:rPr/>
      </w:pPr>
      <w:r>
        <w:rPr>
          <w:rFonts w:ascii="Times New Roman;serif" w:hAnsi="Times New Roman;serif"/>
          <w:b w:val="false"/>
          <w:color w:val="000000"/>
          <w:sz w:val="20"/>
        </w:rPr>
        <w:t>See “</w:t>
      </w:r>
      <w:hyperlink w:anchor="i473dc8f3a1b24875b0036ddd45bfe466_46">
        <w:r>
          <w:rPr>
            <w:rStyle w:val="InternetLink"/>
            <w:rFonts w:ascii="Times New Roman;serif" w:hAnsi="Times New Roman;serif"/>
            <w:b w:val="false"/>
            <w:color w:val="0000FF"/>
            <w:sz w:val="20"/>
            <w:u w:val="single"/>
          </w:rPr>
          <w:t>Note 3—Long-term Debt</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 xml:space="preserve">” </w:t>
      </w:r>
      <w:r>
        <w:rPr>
          <w:rFonts w:ascii="Times New Roman;serif" w:hAnsi="Times New Roman;serif"/>
          <w:b w:val="false"/>
          <w:color w:val="000000"/>
          <w:sz w:val="20"/>
        </w:rPr>
        <w:t xml:space="preserve">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24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Securities Exchange Act of 1934, as amended (the “Exchange Act”), management, including our Chairman and Senior Executive and Chief Financial Officer (“CFO”), conducted an evaluation, as of the end of the period covered by this quarterly report, of the effectiveness of the Company’s disclosure controls and procedures as defined by Rule 13a-15(e) under the Exchange Act. Based on this evaluation, our Chairman and Senior Executive and CFO concluded that the Company’s disclosure controls and procedures were effective as of the end of the period covered by this quarterly report.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monitors and evaluates on an ongoing basis its internal control over financial reporting in order to improve its overall effectiveness. In the course of these evaluations, the Company modifies and refines its internal processes as conditions warrant.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have been no changes to our internal control over financial reporting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 xml:space="preserve">Item 1. </w:t>
      </w:r>
      <w:r>
        <w:rPr>
          <w:rFonts w:ascii="Times New Roman;serif" w:hAnsi="Times New Roman;serif"/>
          <w:b/>
          <w:i/>
          <w:color w:val="000000"/>
          <w:sz w:val="20"/>
        </w:rPr>
        <w:t xml:space="preserve">Legal Proceedings </w:t>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People Incorporated and its subsidiaries are (or may become) parties to litigation involving property, personal injury, contract, intellectual property and other claims, as well as shareholder derivative actions, class action lawsuits and other matters. The amounts that may be recovered in such matters may be subject to insurance coverage.</w:t>
      </w:r>
    </w:p>
    <w:p>
      <w:pPr>
        <w:pStyle w:val="TextBody"/>
        <w:bidi w:val="0"/>
        <w:spacing w:lineRule="auto" w:line="268" w:before="0" w:after="240"/>
        <w:ind w:left="0" w:right="0" w:firstLine="450"/>
        <w:jc w:val="left"/>
        <w:rPr/>
      </w:pPr>
      <w:r>
        <w:rPr>
          <w:rFonts w:ascii="Times New Roman;serif" w:hAnsi="Times New Roman;serif"/>
          <w:b w:val="false"/>
          <w:color w:val="000000"/>
          <w:sz w:val="20"/>
        </w:rPr>
        <w:t>See “</w:t>
      </w:r>
      <w:hyperlink w:anchor="i473dc8f3a1b24875b0036ddd45bfe466_79">
        <w:r>
          <w:rPr>
            <w:rStyle w:val="InternetLink"/>
            <w:rFonts w:ascii="Times New Roman;serif" w:hAnsi="Times New Roman;serif"/>
            <w:b w:val="false"/>
            <w:color w:val="0000FF"/>
            <w:sz w:val="20"/>
            <w:u w:val="single"/>
          </w:rPr>
          <w:t>Note 11—Contingencies</w:t>
        </w:r>
      </w:hyperlink>
      <w:r>
        <w:rPr>
          <w:color w:val="000000"/>
        </w:rPr>
        <w:t xml:space="preserve">” </w:t>
      </w:r>
      <w:r>
        <w:rPr>
          <w:rFonts w:ascii="Times New Roman;serif" w:hAnsi="Times New Roman;serif"/>
          <w:b w:val="false"/>
          <w:color w:val="000000"/>
          <w:sz w:val="20"/>
        </w:rPr>
        <w:t>in the accompanying notes to the financial statements included in “</w:t>
      </w:r>
      <w:hyperlink w:anchor="i473dc8f3a1b24875b0036ddd45bfe466_13">
        <w:r>
          <w:rPr>
            <w:rStyle w:val="InternetLink"/>
            <w:rFonts w:ascii="Times New Roman;serif" w:hAnsi="Times New Roman;serif"/>
            <w:b w:val="false"/>
            <w:color w:val="0000FF"/>
            <w:sz w:val="20"/>
            <w:u w:val="single"/>
          </w:rPr>
          <w:t>Item 1—Consolidated Financial Statements</w:t>
        </w:r>
      </w:hyperlink>
      <w:r>
        <w:rPr>
          <w:color w:val="000000"/>
        </w:rPr>
        <w:t xml:space="preserve">” </w:t>
      </w:r>
      <w:r>
        <w:rPr>
          <w:rFonts w:ascii="Times New Roman;serif" w:hAnsi="Times New Roman;serif"/>
          <w:b w:val="false"/>
          <w:color w:val="000000"/>
          <w:sz w:val="20"/>
        </w:rPr>
        <w:t>for additional information related to a previous lawsuit related to the allocation of a gain recorded in 2015 related to a real estate transaction.</w:t>
      </w:r>
    </w:p>
    <w:p>
      <w:pPr>
        <w:pStyle w:val="TextBody"/>
        <w:bidi w:val="0"/>
        <w:spacing w:lineRule="auto" w:line="26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People Inc. Ad-Tech Antitrust Litigation against Google</w:t>
      </w:r>
    </w:p>
    <w:p>
      <w:pPr>
        <w:pStyle w:val="TextBody"/>
        <w:bidi w:val="0"/>
        <w:spacing w:lineRule="auto" w:line="268" w:before="0" w:after="240"/>
        <w:ind w:left="0" w:right="0" w:firstLine="450"/>
        <w:jc w:val="left"/>
        <w:rPr/>
      </w:pPr>
      <w:r>
        <w:rPr>
          <w:rFonts w:ascii="Times New Roman;serif" w:hAnsi="Times New Roman;serif"/>
          <w:b w:val="false"/>
          <w:color w:val="000000"/>
          <w:sz w:val="20"/>
        </w:rPr>
        <w:t xml:space="preserve">On August 29, 2025, the Company’s People Inc. subsidiary filed an action in the United States District Court for the Southern District of New York against Google LLC and Alphabet Inc. (collectively, “Google”), alleging violations of federal antitrust and state law arising out of anticompetitive practices by Google in the ad-tech industry in connection with the sale of ad inventory for display on People Inc.’s online properties. </w:t>
      </w:r>
      <w:r>
        <w:rPr>
          <w:rFonts w:ascii="Times New Roman;serif" w:hAnsi="Times New Roman;serif"/>
          <w:b w:val="false"/>
          <w:i/>
          <w:color w:val="000000"/>
          <w:sz w:val="20"/>
        </w:rPr>
        <w:t>See Dotdash Meredith Inc. a/k/a People Inc. et ano. v. Google LLC et ano.</w:t>
      </w:r>
      <w:r>
        <w:rPr>
          <w:rFonts w:ascii="Times New Roman;serif" w:hAnsi="Times New Roman;serif"/>
          <w:b w:val="false"/>
          <w:color w:val="000000"/>
          <w:sz w:val="20"/>
        </w:rPr>
        <w:t xml:space="preserve">, No. 1:25-cv-7194 (S.D.N.Y.). The lawsuit follows on the Government’s antitrust enforcement action against Google in the digital advertising technology space, in which a federal district judge has ruled that Google acquired, maintained, and misused monopoly power in the publisher ad-server and ad-exchange markets, and tied use of its publisher ad-server to use of its ad exchange, in violation of the Sherman Act. </w:t>
      </w:r>
      <w:r>
        <w:rPr>
          <w:rFonts w:ascii="Times New Roman;serif" w:hAnsi="Times New Roman;serif"/>
          <w:b w:val="false"/>
          <w:i/>
          <w:color w:val="000000"/>
          <w:sz w:val="20"/>
        </w:rPr>
        <w:t>See United States v. Google LLC</w:t>
      </w:r>
      <w:r>
        <w:rPr>
          <w:rFonts w:ascii="Times New Roman;serif" w:hAnsi="Times New Roman;serif"/>
          <w:b w:val="false"/>
          <w:color w:val="000000"/>
          <w:sz w:val="20"/>
        </w:rPr>
        <w:t xml:space="preserve">, No. 1:23-cv-108 (E.D. Va.) (Apr. 17, 2025 Mem. Op.). People Inc.’s complaint asserts federal antitrust claims for monopolization and attempted monopolization of the publisher ad-server and ad-exchange markets and for unlawful tying in violation of the Sherman Act, as well as claims of deceptive acts or practices in violation of the New York General Business Law and claims of common-law fraud and unjust enrichment, and seeks among other things declaratory and injunctive relief and damages, including treble damages, in an amount to be determined at trial. </w:t>
      </w:r>
    </w:p>
    <w:p>
      <w:pPr>
        <w:pStyle w:val="TextBody"/>
        <w:bidi w:val="0"/>
        <w:spacing w:lineRule="auto" w:line="268" w:before="0" w:after="0"/>
        <w:ind w:left="0" w:right="0" w:firstLine="450"/>
        <w:jc w:val="left"/>
        <w:rPr/>
      </w:pPr>
      <w:r>
        <w:rPr>
          <w:rFonts w:ascii="Times New Roman;serif" w:hAnsi="Times New Roman;serif"/>
          <w:b w:val="false"/>
          <w:color w:val="000000"/>
          <w:sz w:val="20"/>
        </w:rPr>
        <w:t xml:space="preserve">People Inc.’s lawsuit is part of a consolidated multidistrict litigation (“MDL”) comprised of similar lawsuits filed by other online publishers, all pending before the same judge in the Southern District of New York. See </w:t>
      </w:r>
      <w:r>
        <w:rPr>
          <w:rFonts w:ascii="Times New Roman;serif" w:hAnsi="Times New Roman;serif"/>
          <w:b w:val="false"/>
          <w:i/>
          <w:color w:val="000000"/>
          <w:sz w:val="20"/>
        </w:rPr>
        <w:t>In re Google Digital Advertising Antitrust Litigation</w:t>
      </w:r>
      <w:r>
        <w:rPr>
          <w:rFonts w:ascii="Times New Roman;serif" w:hAnsi="Times New Roman;serif"/>
          <w:b w:val="false"/>
          <w:color w:val="000000"/>
          <w:sz w:val="20"/>
        </w:rPr>
        <w:t xml:space="preserve">, No. 1:21-md-3010 (S.D.N.Y.) (Castel, J.). On October 27, 2025, in a ruling in one of the earlier-filed publisher lawsuits in the MDL, the court held that Google is precluded from relitigating certain issues previously decided against it in the Government’s case, including (i) that publisher ad servers and ad exchanges are separate, distinct, and worldwide markets for antitrust purposes, (ii) that Google engaged in five separate types of anticompetitive conduct in willfully acquiring and maintaining monopoly power in those markets, and (iii) that Google unlawfully tied its publisher ad server to its ad exchange in violation of the Sherman Act.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24, 2025, Google filed a motion to dismiss the state-law claims (but not the federal antitrust claims) in People Inc.’s complaint. People Inc. opposed the motion, which remains pending. Fact discovery in the case is substantially complete, and the parties are preparing for expert discovery. People Inc. intends to vigorously pursue its claims in this action, but there is no guarantee that its efforts will be successful.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w:t>
        <w:noBreakHyphen/>
        <w:t>looking statements” within the meaning of the Private Securities Litigation Reform Act of 1995. The use of words such as “anticipates,” “estimates,” “expects,” “plans” and “believes,” among others, generally identify forward-looking statements. These forward-looking statements include, among others, statements relating to: the planned corporate consolidation, sales of any non-core assets, the future financial performance of the Company, business prospects and strategy, anticipated trends and prospects in the industries in which the Company operates and other similar matters.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 (viii) 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subscribers and caregivers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 (xiii) 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(xxii) risks related to our planned corporate consolidation and (xxiii) risks relating to our proposal made to MGM for a potential transaction, including the timing, completion and terms of any such transaction, the receipt of any required approvals and financing, the realization of anticipated benefits, and related litigation and other uncertainties.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of these and other risks and uncertainties are described in the Company’s filings with the SEC, including under the caption Part I-Item 1A-Risk Factors of our annual report on 10-K for the year ended December 31, 2025, filed with the Securities and Exchange Commission on February 20, 2026 (the “Annual Report”). Other unknown or unpredictable factors that could also adversely affect the Company's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quarterly report.</w:t>
      </w:r>
    </w:p>
    <w:p>
      <w:pPr>
        <w:pStyle w:val="TextBody"/>
        <w:bidi w:val="0"/>
        <w:spacing w:before="0" w:after="0"/>
        <w:ind w:left="0" w:right="0" w:firstLine="45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240"/>
        <w:ind w:left="0" w:right="0" w:firstLine="450"/>
        <w:jc w:val="left"/>
        <w:rPr/>
      </w:pPr>
      <w:r>
        <w:rPr>
          <w:rFonts w:ascii="Times New Roman;serif" w:hAnsi="Times New Roman;serif"/>
          <w:b w:val="false"/>
          <w:color w:val="000000"/>
          <w:sz w:val="20"/>
          <w:shd w:fill="FFFFFF" w:val="clear"/>
        </w:rPr>
        <w:t xml:space="preserve">Except as described below, there have been no material changes to the risk factors disclosed in Part I-Item 1A-Risk Factors of our Annual Report. In </w:t>
      </w:r>
      <w:r>
        <w:rPr>
          <w:rFonts w:ascii="Times New Roman;serif" w:hAnsi="Times New Roman;serif"/>
          <w:b w:val="false"/>
          <w:color w:val="000000"/>
          <w:sz w:val="20"/>
        </w:rPr>
        <w:t>addition to the other information set forth in this quarterly report, you should carefully consider the risk factors discussed under the caption Part I-Item 1A-Risk Factors of our Annual Report, any or all of which could materially and adversely affect the Company’s business, financial condition or results of operations. Additional risks and uncertainties not currently known to us or that we currently deem to be immaterial also may materially and adversely affect the Company’s business, financial condition and/or results of operations.</w:t>
      </w:r>
    </w:p>
    <w:p>
      <w:pPr>
        <w:pStyle w:val="TextBody"/>
        <w:bidi w:val="0"/>
        <w:spacing w:lineRule="auto" w:line="26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Our strategic initiatives may not be successful</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long-term strategy may include, from time to time, evaluating and pursuing a range of strategic actions and initiatives, including expansion into product lines beyond our traditional digital and print publishing businesses, changes to our operating or organizational structure, adjustments to investment priorities, directional strategy, cost structure or capital allocation, and the acquisition, minority investment in, merger with, or divestiture or separation of certain businesses. These types of strategic actions and initiatives, if undertaken, may involve financial, managerial, and operational considerations, including, among others: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the diversion of management attention from the operation of our existing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incremental expenses, including legal, administrative, restructuring, and compensation costs, that may arise in connection with evaluating or implementing such actions or initiatives, including costs related to hiring or terminating employees;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costs associated with integrating, developing, scaling, repositioning, or, in the case of a divestiture or separation, separating technology, personnel, customer relationships, and business processes;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potential exposure to liabilities or operational challenges that may not be identified during planning or due diligence; and</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potential effects on reported results of operations, including possible impairment charges related to goodwill or other intangible assets.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strategic initiative, business, technology, service, or product that we may pursue, acquire, invest in, reposition, or divest may not perform as anticipated or deliver the expected benefits. In addition, from time to time we may allocate capital to share repurchases or other capital return initiatives, which may not achieve the desired results, including with respect to enhancing long-term stockholder value. Accordingly, any future strategic initiatives, operational decisions, or capital allocation actions we may consider could involve risks or uncertainties that may adversely affect our business, financial condition, or results of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 2026, we announced that we had submitted a non-binding proposal to the board of directors of MGM to acquire all outstanding shares of MGM that we do not already own for $48.30 per share in cash. We do not yet know the outcome of our proposal. However, any such transaction will be subject to all of the risks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Item 2. </w:t>
      </w:r>
      <w:r>
        <w:rPr>
          <w:color w:val="000000"/>
        </w:rPr>
        <w:t>   </w:t>
      </w:r>
      <w:r>
        <w:rPr>
          <w:rFonts w:ascii="Times New Roman;serif" w:hAnsi="Times New Roman;serif"/>
          <w:b/>
          <w:i/>
          <w:color w:val="000000"/>
          <w:sz w:val="20"/>
        </w:rPr>
        <w:t>Unregistered Sales of Equity Securities and Use of Proceeds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did not issue or sell any shares of its common stock or any other equity securities pursuant to unregistered transactions during the quarter ended June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purchases by the Company of shares of its common stock during the quarter ended June 30, 2026: </w:t>
      </w:r>
    </w:p>
    <w:tbl>
      <w:tblPr>
        <w:tblW w:w="10205" w:type="dxa"/>
        <w:jc w:val="left"/>
        <w:tblInd w:w="0" w:type="dxa"/>
        <w:tblLayout w:type="fixed"/>
        <w:tblCellMar>
          <w:top w:w="28" w:type="dxa"/>
          <w:left w:w="28" w:type="dxa"/>
          <w:bottom w:w="28" w:type="dxa"/>
          <w:right w:w="28" w:type="dxa"/>
        </w:tblCellMar>
      </w:tblPr>
      <w:tblGrid>
        <w:gridCol w:w="384"/>
        <w:gridCol w:w="338"/>
        <w:gridCol w:w="343"/>
        <w:gridCol w:w="109"/>
        <w:gridCol w:w="109"/>
        <w:gridCol w:w="109"/>
        <w:gridCol w:w="616"/>
        <w:gridCol w:w="417"/>
        <w:gridCol w:w="418"/>
        <w:gridCol w:w="109"/>
        <w:gridCol w:w="109"/>
        <w:gridCol w:w="109"/>
        <w:gridCol w:w="278"/>
        <w:gridCol w:w="813"/>
        <w:gridCol w:w="143"/>
        <w:gridCol w:w="109"/>
        <w:gridCol w:w="109"/>
        <w:gridCol w:w="109"/>
        <w:gridCol w:w="872"/>
        <w:gridCol w:w="704"/>
        <w:gridCol w:w="706"/>
        <w:gridCol w:w="109"/>
        <w:gridCol w:w="109"/>
        <w:gridCol w:w="109"/>
        <w:gridCol w:w="1121"/>
        <w:gridCol w:w="717"/>
        <w:gridCol w:w="1027"/>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b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b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b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w:t>
              <w:br/>
              <w:t>Maximum Number of Shares that May Yet Be Purchased Under Publicly Announced Plans or Programs</w:t>
            </w:r>
          </w:p>
        </w:tc>
      </w:tr>
      <w:tr>
        <w:trPr/>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206,818 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2,519,568 </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2,519,568 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12,519,568 </w:t>
            </w:r>
          </w:p>
        </w:tc>
        <w:tc>
          <w:tcPr>
            <w:tcW w:w="10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206,818 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206,818 </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12,519,568 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16, 2026, the board of directors of the Company approved an authorization for the Company to repurchase an additional 10 million shares of the Company’s common stock. At June 30, 2026, the Company has 12.5 million shares remaining under its authorization. 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240"/>
        <w:jc w:val="left"/>
        <w:rPr/>
      </w:pPr>
      <w:r>
        <w:rPr>
          <w:rFonts w:ascii="Times New Roman;serif" w:hAnsi="Times New Roman;serif"/>
          <w:b/>
          <w:color w:val="000000"/>
          <w:sz w:val="20"/>
        </w:rPr>
        <w:t xml:space="preserve">Item 5. </w:t>
      </w:r>
      <w:r>
        <w:rPr>
          <w:rFonts w:ascii="Times New Roman;serif" w:hAnsi="Times New Roman;serif"/>
          <w:b/>
          <w:i/>
          <w:color w:val="000000"/>
          <w:sz w:val="20"/>
        </w:rPr>
        <w:t xml:space="preserve">Other Information </w:t>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Company’s directors or officers adopted or terminated a Rule 10b5-1 trading plan or non-Rule 10b5-1 trading arrangement (as such terms are defined in Item 408(a) of Regulation S</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documents set forth below, numbered in accordance with Item 601 of Regulation S-K, are filed herewith, incorporated by reference to the location indicated or furnished herewith.</w:t>
      </w:r>
    </w:p>
    <w:tbl>
      <w:tblPr>
        <w:tblW w:w="10205" w:type="dxa"/>
        <w:jc w:val="left"/>
        <w:tblInd w:w="0" w:type="dxa"/>
        <w:tblLayout w:type="fixed"/>
        <w:tblCellMar>
          <w:top w:w="28" w:type="dxa"/>
          <w:left w:w="28" w:type="dxa"/>
          <w:bottom w:w="28" w:type="dxa"/>
          <w:right w:w="28" w:type="dxa"/>
        </w:tblCellMar>
      </w:tblPr>
      <w:tblGrid>
        <w:gridCol w:w="294"/>
        <w:gridCol w:w="258"/>
        <w:gridCol w:w="259"/>
        <w:gridCol w:w="1619"/>
        <w:gridCol w:w="1470"/>
        <w:gridCol w:w="1486"/>
        <w:gridCol w:w="1504"/>
        <w:gridCol w:w="1366"/>
        <w:gridCol w:w="194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4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4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IAC Inc.</w:t>
            </w:r>
          </w:p>
        </w:tc>
        <w:tc>
          <w:tcPr>
            <w:tcW w:w="4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Exhibit 3.1 to the Registrant's Quarterly Report on Form 10-Q for the fiscal quarter ended June 30,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Restated Certificate of Incorporation of IAC/InterActiveCorp (effective as of June 30, 2020). </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Exhibit 3.1(c) to the Registrant’s Current Report on Form 8-K filed on July 2, 2020</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Amendment of Restated Certificate of Incorporation of IAC/InterActiveCorp (effective as of May 25, 2021).</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Exhibit 4.2 to Post-Effective Amendment No. 1 on Form S-8 to Registration Statement on Form S-4 (File No. 333-251656), filed by the Registrant on May 26, 2021</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Amendment of Restated Certificate of Incorporation of IAC/InterActiveCorp (effective as of August 11, 2022).</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Exhibit 3.1 to the Registrant's Current Report on Form 8-K, filed on August 12, 2022</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Amendment of Restated Certificate of Incorporation of IAC Inc. (effective as of June 12, 2024).</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Exhibit 3.1 to the Registrant's Current Report on Form 8-K, filed on June 13, 2024</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Amendment of Restated Certificate of Incorporation of People Incorporated (formerly IAC Inc.)</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Exhibit 3.1 to the Registrant’s Current Report on Form 8-K, filed on June 4,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Designations of Series A Cumulative Preferred Stock.</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Exhibit 3.2 to the Registrant’s Current Report on Form 8-K filed on July 2, 2020</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People Incorporated (formerly IAC Inc.)</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Exhibit 3.2 to the Registrant's Current Report on Form 8-K, filed on June 4,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Voting Agreement (effective as of April 3, 2026).</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Exhibit 99.1 to the Registrant’s Current Report on Form 8-K filed on April 7,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 Agreement, dated as of June 22, 2026, by and among People Incorporated, Barry Diller, Diane von Furstenberg and Alexander von Furstenberg</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Exhibit 99.1 to the Registrant’s Current Report on Form 8-K filed on June 22,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Transition Agreement, dated April 27 2026, between People Incorporated (formerly IAC Inc.) and Christopher Halpin.(1)</w:t>
            </w:r>
          </w:p>
        </w:tc>
        <w:tc>
          <w:tcPr>
            <w:tcW w:w="4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Exhibit 10.1 to the Registrant’s Current Report on Form 8-K filed on April 28,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99"/>
        <w:gridCol w:w="263"/>
        <w:gridCol w:w="264"/>
        <w:gridCol w:w="1927"/>
        <w:gridCol w:w="1763"/>
        <w:gridCol w:w="1782"/>
        <w:gridCol w:w="1140"/>
        <w:gridCol w:w="1140"/>
        <w:gridCol w:w="1627"/>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54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Transition Agreement, dated April 27, 2026, between People Incorporated (formerly IAC Inc.) and Kendall Handler.(1)</w:t>
            </w:r>
          </w:p>
        </w:tc>
        <w:tc>
          <w:tcPr>
            <w:tcW w:w="3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Exhibit 10.2 to the Registrant’s Current Report on Form 8-K filed on April 28,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ppli-ex311_2026630.htm">
              <w:r>
                <w:rPr>
                  <w:rStyle w:val="InternetLink"/>
                  <w:rFonts w:ascii="Times New Roman;serif" w:hAnsi="Times New Roman;serif"/>
                  <w:b w:val="false"/>
                  <w:color w:val="0000FF"/>
                  <w:sz w:val="20"/>
                  <w:u w:val="single"/>
                </w:rPr>
                <w:t>31.1</w:t>
              </w:r>
            </w:hyperlink>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Chairman and Senior Executive pursuant to Rule 13a-14(a) or Rule 15d-14(a) of the Securities Exchange Act of 1934 as adopted pursuant to Section 302 of the Sarbanes-Oxley Act.(2)</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ppli-ex312_2026630.htm">
              <w:r>
                <w:rPr>
                  <w:rStyle w:val="InternetLink"/>
                  <w:rFonts w:ascii="Times New Roman;serif" w:hAnsi="Times New Roman;serif"/>
                  <w:b w:val="false"/>
                  <w:color w:val="0000FF"/>
                  <w:sz w:val="20"/>
                  <w:u w:val="single"/>
                </w:rPr>
                <w:t>31.2</w:t>
              </w:r>
            </w:hyperlink>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Chief Financial Officer pursuant to Rule 13a-14(a) or Rule 15d-14(a) of the Securities Exchange Act of 1934 as adopted pursuant to Section 302 of the Sarbanes-Oxley Act.(2)</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ppli-ex321_2026630.htm">
              <w:r>
                <w:rPr>
                  <w:rStyle w:val="InternetLink"/>
                  <w:rFonts w:ascii="Times New Roman;serif" w:hAnsi="Times New Roman;serif"/>
                  <w:b w:val="false"/>
                  <w:color w:val="0000FF"/>
                  <w:sz w:val="20"/>
                  <w:u w:val="single"/>
                </w:rPr>
                <w:t>32.1</w:t>
              </w:r>
            </w:hyperlink>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Chairman and Senior Executive pursuant to 18 U.S.C. Section 1350 as adopted pursuant to Section 906 of the Sarbanes-Oxley Act.(3)</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ppli-ex322_2026630.htm">
              <w:r>
                <w:rPr>
                  <w:rStyle w:val="InternetLink"/>
                  <w:rFonts w:ascii="Times New Roman;serif" w:hAnsi="Times New Roman;serif"/>
                  <w:b w:val="false"/>
                  <w:color w:val="0000FF"/>
                  <w:sz w:val="20"/>
                  <w:u w:val="single"/>
                </w:rPr>
                <w:t>32.2</w:t>
              </w:r>
            </w:hyperlink>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Chief Financial Officer pursuant to 18 U.S.C. Section 1350 as adopted pursuant to Section 906 of the Sarbanes-Oxley Act.(3)</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Instance.(2)</w:t>
            </w:r>
          </w:p>
        </w:tc>
        <w:tc>
          <w:tcPr>
            <w:tcW w:w="3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Schema.(2)</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Calculation.(2)</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Definition.(2)</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Labels.(2)</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Presentation.(2)</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104</w:t>
            </w:r>
          </w:p>
        </w:tc>
        <w:tc>
          <w:tcPr>
            <w:tcW w:w="5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(1)Reflects management contracts and management and director compensation plans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(2)Filed herewith.</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73dc8f3a1b24875b0036ddd45bfe46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160" w:after="160"/>
        <w:ind w:left="0" w:right="0" w:firstLine="495"/>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060"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252"/>
        <w:gridCol w:w="252"/>
        <w:gridCol w:w="252"/>
        <w:gridCol w:w="252"/>
        <w:gridCol w:w="252"/>
        <w:gridCol w:w="252"/>
        <w:gridCol w:w="1888"/>
        <w:gridCol w:w="1888"/>
        <w:gridCol w:w="27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 INCORPORATED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HALPIN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Halpin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Operating Officer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0"/>
        <w:gridCol w:w="757"/>
        <w:gridCol w:w="762"/>
        <w:gridCol w:w="2036"/>
        <w:gridCol w:w="2036"/>
        <w:gridCol w:w="2062"/>
        <w:gridCol w:w="109"/>
        <w:gridCol w:w="109"/>
        <w:gridCol w:w="109"/>
        <w:gridCol w:w="398"/>
        <w:gridCol w:w="398"/>
        <w:gridCol w:w="569"/>
      </w:tblGrid>
      <w:tr>
        <w:trPr/>
        <w:tc>
          <w:tcPr>
            <w:tcW w:w="8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HALPIN</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Operating Officer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Halpin</w:t>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120" w:after="120"/>
        <w:jc w:val="left"/>
        <w:rPr/>
      </w:pPr>
      <w:r>
        <w:rPr/>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Barry Diller, certify that: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People Incorporated;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41"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808"/>
        <w:gridCol w:w="808"/>
        <w:gridCol w:w="114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BARRY DILLER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Barry Diller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and Senior Executive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120" w:after="120"/>
        <w:jc w:val="left"/>
        <w:rPr/>
      </w:pPr>
      <w:r>
        <w:rPr/>
      </w:r>
    </w:p>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Christopher Halpin, certify that: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People Incorporated;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920"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1915"/>
        <w:gridCol w:w="1915"/>
        <w:gridCol w:w="2710"/>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HALPIN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Halpin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Operating Officer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Barry Diller, certify, pursuant to Section 906 of the Sarbanes-Oxley Act of 2002, 18 U.S.C. Section 1350, that, to my knowledge: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ended June 30, 2026 of People Incorporated (the "Report") which this statement accompanies fully complies with the requirements of Section 13(a) or 15(d)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People Incorporated. </w:t>
      </w:r>
    </w:p>
    <w:p>
      <w:pPr>
        <w:pStyle w:val="TextBody"/>
        <w:bidi w:val="0"/>
        <w:spacing w:before="0" w:after="0"/>
        <w:jc w:val="left"/>
        <w:rPr/>
      </w:pPr>
      <w:r>
        <w:rPr/>
      </w:r>
    </w:p>
    <w:tbl>
      <w:tblPr>
        <w:tblW w:w="5141"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808"/>
        <w:gridCol w:w="808"/>
        <w:gridCol w:w="114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BARRY DILLER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Barry Diller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and Senior Executive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Christopher Halpin, certify, pursuant to Section 906 of the Sarbanes-Oxley Act of 2002, 18 U.S.C. Section 1350, that, to my knowledge: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ended June 30, 2026 of People Incorporated (the "Report") which this statement accompanies fully complies with the requirements of Section 13(a) or 15(d)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People Incorporated. </w:t>
      </w:r>
    </w:p>
    <w:p>
      <w:pPr>
        <w:pStyle w:val="TextBody"/>
        <w:bidi w:val="0"/>
        <w:spacing w:before="0" w:after="0"/>
        <w:jc w:val="left"/>
        <w:rPr/>
      </w:pPr>
      <w:r>
        <w:rPr/>
      </w:r>
    </w:p>
    <w:tbl>
      <w:tblPr>
        <w:tblW w:w="8919"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1912"/>
        <w:gridCol w:w="1912"/>
        <w:gridCol w:w="271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HALPIN</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Halpin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Operating Officer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0227/000180022724000039/iac-ex31_2024630.htm" TargetMode="External"/><Relationship Id="rId3" Type="http://schemas.openxmlformats.org/officeDocument/2006/relationships/hyperlink" Target="https://www.sec.gov/Archives/edgar/data/1800227/000110465920080610/tm2022502d7_ex3-1c.htm" TargetMode="External"/><Relationship Id="rId4" Type="http://schemas.openxmlformats.org/officeDocument/2006/relationships/hyperlink" Target="https://www.sec.gov/Archives/edgar/data/1800227/000110465921072522/tm2116546d4_ex4-2.htm" TargetMode="External"/><Relationship Id="rId5" Type="http://schemas.openxmlformats.org/officeDocument/2006/relationships/hyperlink" Target="https://www.sec.gov/Archives/edgar/data/1800227/000110465922090069/tm2223192d1_ex3-1.htm" TargetMode="External"/><Relationship Id="rId6" Type="http://schemas.openxmlformats.org/officeDocument/2006/relationships/hyperlink" Target="https://www.sec.gov/Archives/edgar/data/1800227/000110465924071290/tm2417101d2_ex3-1.htm" TargetMode="External"/><Relationship Id="rId7" Type="http://schemas.openxmlformats.org/officeDocument/2006/relationships/hyperlink" Target="https://www.sec.gov/Archives/edgar/data/1800227/000110465926070364/tm2616766d1_ex3-1.htm" TargetMode="External"/><Relationship Id="rId8" Type="http://schemas.openxmlformats.org/officeDocument/2006/relationships/hyperlink" Target="https://www.sec.gov/Archives/edgar/data/1800227/000110465920080610/tm2022502d7_ex3-2.htm" TargetMode="External"/><Relationship Id="rId9" Type="http://schemas.openxmlformats.org/officeDocument/2006/relationships/hyperlink" Target="https://www.sec.gov/Archives/edgar/data/1800227/000110465926070364/tm2616766d1_ex3-2.htm" TargetMode="External"/><Relationship Id="rId10" Type="http://schemas.openxmlformats.org/officeDocument/2006/relationships/hyperlink" Target="https://www.sec.gov/Archives/edgar/data/1800227/000110465926040419/tm2611031d2_ex99-1.htm" TargetMode="External"/><Relationship Id="rId11" Type="http://schemas.openxmlformats.org/officeDocument/2006/relationships/hyperlink" Target="https://www.sec.gov/Archives/edgar/data/1800227/000110465926076369/tm2618180d1_ex99-1.htm" TargetMode="External"/><Relationship Id="rId12" Type="http://schemas.openxmlformats.org/officeDocument/2006/relationships/hyperlink" Target="https://www.sec.gov/Archives/edgar/data/1800227/000110465926049837/tm2612831d1_ex10-1.htm" TargetMode="External"/><Relationship Id="rId13" Type="http://schemas.openxmlformats.org/officeDocument/2006/relationships/hyperlink" Target="https://www.sec.gov/Archives/edgar/data/1800227/000110465926049837/tm2612831d1_ex10-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34827</Words>
  <Characters>198415</Characters>
  <CharactersWithSpaces>230306</CharactersWithSpaces>
  <Paragraphs>7095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